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Open Sans" w:hAnsi="Open Sans" w:cs="Open Sans"/>
          <w:b/>
          <w:color w:val="999999"/>
          <w:sz w:val="16"/>
          <w:spacing w:val="60"/>
        </w:rPr>
        <w:t>SFU · FACULTY OF HEALTH SCIENCES · CAPSTONE</w:t>
      </w:r>
    </w:p>
    <w:p>
      <w:pPr>
        <w:spacing w:after="80"/>
      </w:pPr>
      <w:r>
        <w:rPr>
          <w:rFonts w:ascii="Open Sans" w:hAnsi="Open Sans" w:cs="Open Sans"/>
          <w:b/>
          <w:i w:val="0"/>
          <w:color w:val="065C50"/>
          <w:sz w:val="22"/>
        </w:rPr>
        <w:t>HSCI 341 — Public Health Surveillance and Methods</w:t>
      </w:r>
    </w:p>
    <w:p>
      <w:pPr>
        <w:spacing w:after="80"/>
      </w:pPr>
      <w:r>
        <w:rPr>
          <w:rFonts w:ascii="Open Sans" w:hAnsi="Open Sans" w:cs="Open Sans"/>
          <w:b/>
          <w:color w:val="042A25"/>
          <w:sz w:val="48"/>
        </w:rPr>
        <w:t>Term capstone — The Study Protocol &amp; Mock REB Application</w:t>
      </w:r>
    </w:p>
    <w:p>
      <w:pPr>
        <w:spacing w:after="80"/>
      </w:pPr>
      <w:r>
        <w:rPr>
          <w:rFonts w:ascii="Open Sans" w:hAnsi="Open Sans" w:cs="Open Sans"/>
          <w:i/>
          <w:color w:val="555555"/>
          <w:sz w:val="18"/>
        </w:rPr>
        <w:t>A complete public-health study protocol with a mock Research Ethics Board application</w:t>
      </w:r>
    </w:p>
    <w:p>
      <w:pPr>
        <w:pBdr>
          <w:bottom w:val="single" w:sz="8" w:space="1" w:color="0B7B6B"/>
        </w:pBdr>
        <w:spacing w:after="120"/>
      </w:pPr>
    </w:p>
    <w:p>
      <w:pPr>
        <w:spacing w:after="200"/>
      </w:pPr>
      <w:r>
        <w:rPr>
          <w:rFonts w:ascii="Open Sans" w:hAnsi="Open Sans" w:cs="Open Sans"/>
          <w:b w:val="0"/>
          <w:i/>
          <w:color w:val="555555"/>
          <w:sz w:val="20"/>
        </w:rPr>
        <w:t>This is the single source of truth for the term capstone. It contains the overview, all twelve weekly milestones (each with its brief and rubric), and the final integrated deliverable — template plus rubric. This document replaces the previous set of per-week documents.</w:t>
      </w:r>
    </w:p>
    <w:p>
      <w:pPr>
        <w:spacing w:before="320" w:after="120"/>
        <w:outlineLvl w:val="0"/>
      </w:pPr>
      <w:r>
        <w:rPr>
          <w:rFonts w:ascii="Open Sans" w:hAnsi="Open Sans" w:cs="Open Sans"/>
          <w:b/>
          <w:color w:val="065C50"/>
          <w:sz w:val="36"/>
        </w:rPr>
        <w:t>PART 1 — Capstone overview</w:t>
      </w:r>
    </w:p>
    <w:p>
      <w:pPr>
        <w:spacing w:before="200" w:after="80"/>
        <w:outlineLvl w:val="1"/>
      </w:pPr>
      <w:r>
        <w:rPr>
          <w:rFonts w:ascii="Open Sans" w:hAnsi="Open Sans" w:cs="Open Sans"/>
          <w:b/>
          <w:color w:val="065C50"/>
          <w:sz w:val="26"/>
        </w:rPr>
        <w:t>What you will produce</w:t>
      </w:r>
    </w:p>
    <w:p>
      <w:pPr>
        <w:spacing w:after="120"/>
      </w:pPr>
      <w:r>
        <w:rPr>
          <w:rFonts w:ascii="Open Sans" w:hAnsi="Open Sans" w:cs="Open Sans"/>
          <w:b w:val="0"/>
          <w:i w:val="0"/>
          <w:sz w:val="21"/>
        </w:rPr>
        <w:t>A 15–25 page complete study protocol for a public-health study you design, plus a mock Research Ethics Board (REB) application package compliant with TCPS 2 (consent form, risk-benefit narrative, conflict-of-interest disclosure, recruitment materials).</w:t>
      </w:r>
    </w:p>
    <w:p>
      <w:pPr>
        <w:spacing w:before="200" w:after="80"/>
        <w:outlineLvl w:val="1"/>
      </w:pPr>
      <w:r>
        <w:rPr>
          <w:rFonts w:ascii="Open Sans" w:hAnsi="Open Sans" w:cs="Open Sans"/>
          <w:b/>
          <w:color w:val="065C50"/>
          <w:sz w:val="26"/>
        </w:rPr>
        <w:t>Learning outcomes</w:t>
      </w:r>
    </w:p>
    <w:p>
      <w:pPr>
        <w:pStyle w:val="ListBullet"/>
        <w:spacing w:after="40"/>
      </w:pPr>
      <w:r>
        <w:rPr>
          <w:rFonts w:ascii="Open Sans" w:hAnsi="Open Sans" w:cs="Open Sans"/>
          <w:sz w:val="21"/>
        </w:rPr>
        <w:t>Translate a public-health concern into a feasible, ethical, and answerable study question.</w:t>
      </w:r>
    </w:p>
    <w:p>
      <w:pPr>
        <w:pStyle w:val="ListBullet"/>
        <w:spacing w:after="40"/>
      </w:pPr>
      <w:r>
        <w:rPr>
          <w:rFonts w:ascii="Open Sans" w:hAnsi="Open Sans" w:cs="Open Sans"/>
          <w:sz w:val="21"/>
        </w:rPr>
        <w:t>Justify a study design, sampling plan, and instrument set against alternatives.</w:t>
      </w:r>
    </w:p>
    <w:p>
      <w:pPr>
        <w:pStyle w:val="ListBullet"/>
        <w:spacing w:after="40"/>
      </w:pPr>
      <w:r>
        <w:rPr>
          <w:rFonts w:ascii="Open Sans" w:hAnsi="Open Sans" w:cs="Open Sans"/>
          <w:sz w:val="21"/>
        </w:rPr>
        <w:t>Anticipate and mitigate threats to internal and external validity at the protocol stage.</w:t>
      </w:r>
    </w:p>
    <w:p>
      <w:pPr>
        <w:pStyle w:val="ListBullet"/>
        <w:spacing w:after="40"/>
      </w:pPr>
      <w:r>
        <w:rPr>
          <w:rFonts w:ascii="Open Sans" w:hAnsi="Open Sans" w:cs="Open Sans"/>
          <w:sz w:val="21"/>
        </w:rPr>
        <w:t>Author REB-grade documentation: consent forms, risk-benefit narratives, recruitment materials, COI disclosures.</w:t>
      </w:r>
    </w:p>
    <w:p>
      <w:pPr>
        <w:pStyle w:val="ListBullet"/>
        <w:spacing w:after="40"/>
      </w:pPr>
      <w:r>
        <w:rPr>
          <w:rFonts w:ascii="Open Sans" w:hAnsi="Open Sans" w:cs="Open Sans"/>
          <w:sz w:val="21"/>
        </w:rPr>
        <w:t>Pre-register hypotheses and an analysis plan before any data are seen.</w:t>
      </w:r>
    </w:p>
    <w:p>
      <w:pPr>
        <w:spacing w:before="200" w:after="80"/>
        <w:outlineLvl w:val="1"/>
      </w:pPr>
      <w:r>
        <w:rPr>
          <w:rFonts w:ascii="Open Sans" w:hAnsi="Open Sans" w:cs="Open Sans"/>
          <w:b/>
          <w:color w:val="065C50"/>
          <w:sz w:val="26"/>
        </w:rPr>
        <w:t>How the capstone is built — week by week</w:t>
      </w:r>
    </w:p>
    <w:p>
      <w:pPr>
        <w:spacing w:after="120"/>
      </w:pPr>
      <w:r>
        <w:rPr>
          <w:rFonts w:ascii="Open Sans" w:hAnsi="Open Sans" w:cs="Open Sans"/>
          <w:b w:val="0"/>
          <w:i w:val="0"/>
          <w:sz w:val="21"/>
        </w:rPr>
        <w:t>Every week of class includes a piece of your capstone. The piece aligns with what you learned that week, so the project develops with the course rather than at the end of it. Each week's piece is small (1–2 hours of focused work) and graded for participation, alignment, and honesty about uncertainty.</w:t>
      </w:r>
    </w:p>
    <w:p>
      <w:pPr>
        <w:spacing w:before="200" w:after="80"/>
        <w:outlineLvl w:val="1"/>
      </w:pPr>
      <w:r>
        <w:rPr>
          <w:rFonts w:ascii="Open Sans" w:hAnsi="Open Sans" w:cs="Open Sans"/>
          <w:b/>
          <w:color w:val="065C50"/>
          <w:sz w:val="26"/>
        </w:rPr>
        <w:t>Weighting</w:t>
      </w:r>
    </w:p>
    <w:p>
      <w:pPr>
        <w:spacing w:after="120"/>
      </w:pPr>
      <w:r>
        <w:rPr>
          <w:rFonts w:ascii="Open Sans" w:hAnsi="Open Sans" w:cs="Open Sans"/>
          <w:b w:val="0"/>
          <w:i w:val="0"/>
          <w:sz w:val="21"/>
        </w:rPr>
        <w:t>Weekly milestones: 2.5% each (Weeks 1–12, 30% total). Final protocol + mock REB application: 25%. Peer review of one classmate's protocol: 5%. Total course weight: 60%.</w:t>
      </w:r>
    </w:p>
    <w:p>
      <w:pPr>
        <w:spacing w:before="200" w:after="80"/>
        <w:outlineLvl w:val="1"/>
      </w:pPr>
      <w:r>
        <w:rPr>
          <w:rFonts w:ascii="Open Sans" w:hAnsi="Open Sans" w:cs="Open Sans"/>
          <w:b/>
          <w:color w:val="065C50"/>
          <w:sz w:val="26"/>
        </w:rPr>
        <w:t>How weekly milestones are graded</w:t>
      </w:r>
    </w:p>
    <w:p>
      <w:pPr>
        <w:pStyle w:val="ListBullet"/>
        <w:spacing w:after="40"/>
      </w:pPr>
      <w:r>
        <w:rPr>
          <w:rFonts w:ascii="Open Sans" w:hAnsi="Open Sans" w:cs="Open Sans"/>
          <w:sz w:val="21"/>
        </w:rPr>
        <w:t>Each milestone is marked out of 5.</w:t>
      </w:r>
    </w:p>
    <w:p>
      <w:pPr>
        <w:pStyle w:val="ListBullet"/>
        <w:spacing w:after="40"/>
      </w:pPr>
      <w:r>
        <w:rPr>
          <w:rFonts w:ascii="Open Sans" w:hAnsi="Open Sans" w:cs="Open Sans"/>
          <w:sz w:val="21"/>
        </w:rPr>
        <w:t>3 marks for completing the deliverable on time and applying that week's lecture content.</w:t>
      </w:r>
    </w:p>
    <w:p>
      <w:pPr>
        <w:pStyle w:val="ListBullet"/>
        <w:spacing w:after="40"/>
      </w:pPr>
      <w:r>
        <w:rPr>
          <w:rFonts w:ascii="Open Sans" w:hAnsi="Open Sans" w:cs="Open Sans"/>
          <w:sz w:val="21"/>
        </w:rPr>
        <w:t>1 mark for evidence/sourcing — claims grounded in real, named sources.</w:t>
      </w:r>
    </w:p>
    <w:p>
      <w:pPr>
        <w:pStyle w:val="ListBullet"/>
        <w:spacing w:after="40"/>
      </w:pPr>
      <w:r>
        <w:rPr>
          <w:rFonts w:ascii="Open Sans" w:hAnsi="Open Sans" w:cs="Open Sans"/>
          <w:sz w:val="21"/>
        </w:rPr>
        <w:t>1 mark for clarity and reproducibility — someone else could build on what you submitted.</w:t>
      </w:r>
    </w:p>
    <w:p>
      <w:pPr>
        <w:pStyle w:val="ListBullet"/>
        <w:spacing w:after="40"/>
      </w:pPr>
      <w:r>
        <w:rPr>
          <w:rFonts w:ascii="Open Sans" w:hAnsi="Open Sans" w:cs="Open Sans"/>
          <w:sz w:val="21"/>
        </w:rPr>
        <w:t>Honest acknowledgment of uncertainty earns full credit. Overclaiming does not.</w:t>
      </w:r>
    </w:p>
    <w:p>
      <w:pPr>
        <w:spacing w:before="200" w:after="80"/>
        <w:outlineLvl w:val="1"/>
      </w:pPr>
      <w:r>
        <w:rPr>
          <w:rFonts w:ascii="Open Sans" w:hAnsi="Open Sans" w:cs="Open Sans"/>
          <w:b/>
          <w:color w:val="065C50"/>
          <w:sz w:val="26"/>
        </w:rPr>
        <w:t>Working with classmates and AI tools</w:t>
      </w:r>
    </w:p>
    <w:p>
      <w:pPr>
        <w:spacing w:after="120"/>
      </w:pPr>
      <w:r>
        <w:rPr>
          <w:rFonts w:ascii="Open Sans" w:hAnsi="Open Sans" w:cs="Open Sans"/>
          <w:b w:val="0"/>
          <w:i w:val="0"/>
          <w:sz w:val="21"/>
        </w:rPr>
        <w:t>Discussing your capstone with classmates is encouraged. The week's milestone must be your own work, in your own words. AI tools (e.g., ChatGPT, Claude) may be used for editing and brainstorming — disclose any AI assistance in a 1-line statement at the bottom of each weekly milestone (e.g., "Used Claude to refine wording on paragraph 2; reviewed and revised all suggestions."). Do not paste AI-generated text without verification or disclosure.</w:t>
      </w:r>
    </w:p>
    <w:p>
      <w:pPr>
        <w:spacing w:before="200" w:after="80"/>
        <w:outlineLvl w:val="1"/>
      </w:pPr>
      <w:r>
        <w:rPr>
          <w:rFonts w:ascii="Open Sans" w:hAnsi="Open Sans" w:cs="Open Sans"/>
          <w:b/>
          <w:color w:val="065C50"/>
          <w:sz w:val="26"/>
        </w:rPr>
        <w:t>Late policy</w:t>
      </w:r>
    </w:p>
    <w:p>
      <w:pPr>
        <w:spacing w:after="120"/>
      </w:pPr>
      <w:r>
        <w:rPr>
          <w:rFonts w:ascii="Open Sans" w:hAnsi="Open Sans" w:cs="Open Sans"/>
          <w:b w:val="0"/>
          <w:i w:val="0"/>
          <w:sz w:val="21"/>
        </w:rPr>
        <w:t>Each milestone is due before the next class. One late milestone per term may be submitted within 7 days for full credit, no questions asked — just email the instructor before the deadline. Beyond that, late milestones lose 20% per day.</w:t>
      </w:r>
    </w:p>
    <w:p>
      <w:pPr>
        <w:spacing w:before="200" w:after="80"/>
        <w:outlineLvl w:val="1"/>
      </w:pPr>
      <w:r>
        <w:rPr>
          <w:rFonts w:ascii="Open Sans" w:hAnsi="Open Sans" w:cs="Open Sans"/>
          <w:b/>
          <w:color w:val="065C50"/>
          <w:sz w:val="26"/>
        </w:rPr>
        <w:t>Peer review</w:t>
      </w:r>
    </w:p>
    <w:p>
      <w:pPr>
        <w:spacing w:after="120"/>
      </w:pPr>
      <w:r>
        <w:rPr>
          <w:rFonts w:ascii="Open Sans" w:hAnsi="Open Sans" w:cs="Open Sans"/>
          <w:b w:val="0"/>
          <w:i w:val="0"/>
          <w:sz w:val="21"/>
        </w:rPr>
        <w:t>In Week 13 you will exchange your final deliverable with one classmate and complete a structured peer review (template provided). Peer review is worth 5% of the course grade and is graded on the quality of the review you provide, not the score you give.</w:t>
      </w:r>
    </w:p>
    <w:p>
      <w:r>
        <w:br w:type="page"/>
      </w:r>
    </w:p>
    <w:p>
      <w:pPr>
        <w:spacing w:before="320" w:after="120"/>
        <w:outlineLvl w:val="0"/>
      </w:pPr>
      <w:r>
        <w:rPr>
          <w:rFonts w:ascii="Open Sans" w:hAnsi="Open Sans" w:cs="Open Sans"/>
          <w:b/>
          <w:color w:val="065C50"/>
          <w:sz w:val="36"/>
        </w:rPr>
        <w:t>PART 2 — Weekly milestones</w:t>
      </w:r>
    </w:p>
    <w:p>
      <w:pPr>
        <w:spacing w:after="120"/>
      </w:pPr>
      <w:r>
        <w:rPr>
          <w:rFonts w:ascii="Open Sans" w:hAnsi="Open Sans" w:cs="Open Sans"/>
          <w:b w:val="0"/>
          <w:i/>
          <w:color w:val="555555"/>
          <w:sz w:val="21"/>
        </w:rPr>
        <w:t>Each weekly milestone aligns with that week's lecture content. The brief tells you what to submit; the rubric tells you how it will be marked. Every milestone is worth 2.5% of the course grade.</w:t>
      </w:r>
    </w:p>
    <w:p>
      <w:pPr>
        <w:spacing w:after="40"/>
      </w:pPr>
      <w:r>
        <w:rPr>
          <w:rFonts w:ascii="Open Sans" w:hAnsi="Open Sans" w:cs="Open Sans"/>
          <w:b/>
          <w:color w:val="999999"/>
          <w:sz w:val="16"/>
          <w:spacing w:val="60"/>
        </w:rPr>
        <w:t>WEEK 01</w:t>
      </w:r>
    </w:p>
    <w:p>
      <w:pPr>
        <w:spacing w:after="40"/>
      </w:pPr>
      <w:r>
        <w:rPr>
          <w:rFonts w:ascii="Open Sans" w:hAnsi="Open Sans" w:cs="Open Sans"/>
          <w:b/>
          <w:color w:val="065C50"/>
          <w:sz w:val="32"/>
        </w:rPr>
        <w:t>Research Question + Causal Diagram</w:t>
      </w:r>
    </w:p>
    <w:p>
      <w:pPr>
        <w:spacing w:after="80"/>
      </w:pPr>
      <w:r>
        <w:rPr>
          <w:rFonts w:ascii="Open Sans" w:hAnsi="Open Sans" w:cs="Open Sans"/>
          <w:i/>
          <w:color w:val="555555"/>
          <w:sz w:val="18"/>
        </w:rPr>
        <w:t>Lecture 1 — Introduction and Causal Concepts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Pick a public-health question you'd want to study. Draft a 1-page rationale and a DAG.</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1-page rationale: the question, why it matters, the population it concerns, the action your evidence could inform.</w:t>
      </w:r>
    </w:p>
    <w:p>
      <w:pPr>
        <w:pStyle w:val="ListBullet"/>
        <w:spacing w:after="40"/>
      </w:pPr>
      <w:r>
        <w:rPr>
          <w:rFonts w:ascii="Open Sans" w:hAnsi="Open Sans" w:cs="Open Sans"/>
          <w:sz w:val="21"/>
        </w:rPr>
        <w:t>A directed acyclic graph (DAG) showing the proposed exposure, outcome, mediators, and confounders.</w:t>
      </w:r>
    </w:p>
    <w:p>
      <w:pPr>
        <w:pStyle w:val="ListBullet"/>
        <w:spacing w:after="40"/>
      </w:pPr>
      <w:r>
        <w:rPr>
          <w:rFonts w:ascii="Open Sans" w:hAnsi="Open Sans" w:cs="Open Sans"/>
          <w:sz w:val="21"/>
        </w:rPr>
        <w:t>Submitted as a 2-page document (1 page narrative + 1 page DAG).</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grounded causal thinking. Your protocol begins with a question whose causal structure is explicit, not implicit.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rationale + DAG to Week 2.</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"Introduction and Causal Concepts"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Question is feasible at student-protocol scale. DAG shows causal direction, not correlation.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Research Question + Causal Diagram</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Question is feasible at student-protocol scale.</w:t>
      </w:r>
    </w:p>
    <w:p>
      <w:pPr>
        <w:pStyle w:val="ListBullet"/>
        <w:spacing w:after="40"/>
      </w:pPr>
      <w:r>
        <w:rPr>
          <w:rFonts w:ascii="Open Sans" w:hAnsi="Open Sans" w:cs="Open Sans"/>
          <w:sz w:val="21"/>
        </w:rPr>
        <w:t>DAG shows causal direction, not correlation.</w:t>
      </w:r>
    </w:p>
    <w:p>
      <w:pPr>
        <w:pStyle w:val="ListBullet"/>
        <w:spacing w:after="40"/>
      </w:pPr>
      <w:r>
        <w:rPr>
          <w:rFonts w:ascii="Open Sans" w:hAnsi="Open Sans" w:cs="Open Sans"/>
          <w:sz w:val="21"/>
        </w:rPr>
        <w:t>Confounders and mediators are distinguished.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02</w:t>
      </w:r>
    </w:p>
    <w:p>
      <w:pPr>
        <w:spacing w:after="40"/>
      </w:pPr>
      <w:r>
        <w:rPr>
          <w:rFonts w:ascii="Open Sans" w:hAnsi="Open Sans" w:cs="Open Sans"/>
          <w:b/>
          <w:color w:val="065C50"/>
          <w:sz w:val="32"/>
        </w:rPr>
        <w:t>Surveillance Audit &amp; Gap Analysis</w:t>
      </w:r>
    </w:p>
    <w:p>
      <w:pPr>
        <w:spacing w:after="80"/>
      </w:pPr>
      <w:r>
        <w:rPr>
          <w:rFonts w:ascii="Open Sans" w:hAnsi="Open Sans" w:cs="Open Sans"/>
          <w:i/>
          <w:color w:val="555555"/>
          <w:sz w:val="18"/>
        </w:rPr>
        <w:t>Lecture 2 — Surveillance and Outbreak Investigation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Identify what existing surveillance data already cover your topic — and what they don't.</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Document at least 3 existing surveillance or administrative data sources relevant to your topic (CCHS, Vital Stats, Notifiable Diseases, BC PHSA dashboards, etc.).</w:t>
      </w:r>
    </w:p>
    <w:p>
      <w:pPr>
        <w:pStyle w:val="ListBullet"/>
        <w:spacing w:after="40"/>
      </w:pPr>
      <w:r>
        <w:rPr>
          <w:rFonts w:ascii="Open Sans" w:hAnsi="Open Sans" w:cs="Open Sans"/>
          <w:sz w:val="21"/>
        </w:rPr>
        <w:t>For each: data steward, refresh cadence, granularity, what it can and cannot tell you about your question.</w:t>
      </w:r>
    </w:p>
    <w:p>
      <w:pPr>
        <w:pStyle w:val="ListBullet"/>
        <w:spacing w:after="40"/>
      </w:pPr>
      <w:r>
        <w:rPr>
          <w:rFonts w:ascii="Open Sans" w:hAnsi="Open Sans" w:cs="Open Sans"/>
          <w:sz w:val="21"/>
        </w:rPr>
        <w:t>Write a 1-paragraph gap analysis: what specifically does your study contribute that surveillance can't?</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Surveillance is your protocol's competition. If existing data can answer your question, your study isn't justified.</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audit to Week 3.</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"Surveillance and Outbreak Investigation"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Three real, named surveillance sources (not generic). Honest assessment of what existing data already covers.</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Surveillance Audit &amp; Gap Analysis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Three real, named surveillance sources (not generic).</w:t>
      </w:r>
    </w:p>
    <w:p>
      <w:pPr>
        <w:pStyle w:val="ListBullet"/>
        <w:spacing w:after="40"/>
      </w:pPr>
      <w:r>
        <w:rPr>
          <w:rFonts w:ascii="Open Sans" w:hAnsi="Open Sans" w:cs="Open Sans"/>
          <w:sz w:val="21"/>
        </w:rPr>
        <w:t>Honest assessment of what existing data already covers.</w:t>
      </w:r>
    </w:p>
    <w:p>
      <w:pPr>
        <w:pStyle w:val="ListBullet"/>
        <w:spacing w:after="40"/>
      </w:pPr>
      <w:r>
        <w:rPr>
          <w:rFonts w:ascii="Open Sans" w:hAnsi="Open Sans" w:cs="Open Sans"/>
          <w:sz w:val="21"/>
        </w:rPr>
        <w:t>Gap statement is specific to your question.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03</w:t>
      </w:r>
    </w:p>
    <w:p>
      <w:pPr>
        <w:spacing w:after="40"/>
      </w:pPr>
      <w:r>
        <w:rPr>
          <w:rFonts w:ascii="Open Sans" w:hAnsi="Open Sans" w:cs="Open Sans"/>
          <w:b/>
          <w:color w:val="065C50"/>
          <w:sz w:val="32"/>
        </w:rPr>
        <w:t>Sampling Plan</w:t>
      </w:r>
    </w:p>
    <w:p>
      <w:pPr>
        <w:spacing w:after="80"/>
      </w:pPr>
      <w:r>
        <w:rPr>
          <w:rFonts w:ascii="Open Sans" w:hAnsi="Open Sans" w:cs="Open Sans"/>
          <w:i/>
          <w:color w:val="555555"/>
          <w:sz w:val="18"/>
        </w:rPr>
        <w:t>Lecture 3 — Sampling</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Specify your target, study, and source populations and your sampling method.</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Define target population, study population, and source population.</w:t>
      </w:r>
    </w:p>
    <w:p>
      <w:pPr>
        <w:pStyle w:val="ListBullet"/>
        <w:spacing w:after="40"/>
      </w:pPr>
      <w:r>
        <w:rPr>
          <w:rFonts w:ascii="Open Sans" w:hAnsi="Open Sans" w:cs="Open Sans"/>
          <w:sz w:val="21"/>
        </w:rPr>
        <w:t>Specify sampling frame and sampling method (with rationale vs. 1 alternative).</w:t>
      </w:r>
    </w:p>
    <w:p>
      <w:pPr>
        <w:pStyle w:val="ListBullet"/>
        <w:spacing w:after="40"/>
      </w:pPr>
      <w:r>
        <w:rPr>
          <w:rFonts w:ascii="Open Sans" w:hAnsi="Open Sans" w:cs="Open Sans"/>
          <w:sz w:val="21"/>
        </w:rPr>
        <w:t>Provide a sample-size justification (precision-based or power-based, with assumptions).</w:t>
      </w:r>
    </w:p>
    <w:p>
      <w:pPr>
        <w:pStyle w:val="ListBullet"/>
        <w:spacing w:after="40"/>
      </w:pPr>
      <w:r>
        <w:rPr>
          <w:rFonts w:ascii="Open Sans" w:hAnsi="Open Sans" w:cs="Open Sans"/>
          <w:sz w:val="21"/>
        </w:rPr>
        <w:t>Submitted as a 2–3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made the distinction between target, study, and source populations operational. Make those distinctions visible in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sampling plan to Week 4.</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"Sampling"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All three population layers named and distinct. Sample-size calculation shows assumptions, not just a number.</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Sampling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All three population layers named and distinct.</w:t>
      </w:r>
    </w:p>
    <w:p>
      <w:pPr>
        <w:pStyle w:val="ListBullet"/>
        <w:spacing w:after="40"/>
      </w:pPr>
      <w:r>
        <w:rPr>
          <w:rFonts w:ascii="Open Sans" w:hAnsi="Open Sans" w:cs="Open Sans"/>
          <w:sz w:val="21"/>
        </w:rPr>
        <w:t>Sample-size calculation shows assumptions, not just a number.</w:t>
      </w:r>
    </w:p>
    <w:p>
      <w:pPr>
        <w:pStyle w:val="ListBullet"/>
        <w:spacing w:after="40"/>
      </w:pPr>
      <w:r>
        <w:rPr>
          <w:rFonts w:ascii="Open Sans" w:hAnsi="Open Sans" w:cs="Open Sans"/>
          <w:sz w:val="21"/>
        </w:rPr>
        <w:t>Sampling method matches the design.</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04</w:t>
      </w:r>
    </w:p>
    <w:p>
      <w:pPr>
        <w:spacing w:after="40"/>
      </w:pPr>
      <w:r>
        <w:rPr>
          <w:rFonts w:ascii="Open Sans" w:hAnsi="Open Sans" w:cs="Open Sans"/>
          <w:b/>
          <w:color w:val="065C50"/>
          <w:sz w:val="32"/>
        </w:rPr>
        <w:t>Instrument Draft</w:t>
      </w:r>
    </w:p>
    <w:p>
      <w:pPr>
        <w:spacing w:after="80"/>
      </w:pPr>
      <w:r>
        <w:rPr>
          <w:rFonts w:ascii="Open Sans" w:hAnsi="Open Sans" w:cs="Open Sans"/>
          <w:i/>
          <w:color w:val="555555"/>
          <w:sz w:val="18"/>
        </w:rPr>
        <w:t>Lecture 4 — Questionnaire Design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Draft your questionnaire — 10–25 items with clear provenance.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10–25 item draft questionnaire.</w:t>
      </w:r>
    </w:p>
    <w:p>
      <w:pPr>
        <w:pStyle w:val="ListBullet"/>
        <w:spacing w:after="40"/>
      </w:pPr>
      <w:r>
        <w:rPr>
          <w:rFonts w:ascii="Open Sans" w:hAnsi="Open Sans" w:cs="Open Sans"/>
          <w:sz w:val="21"/>
        </w:rPr>
        <w:t>For each item: source (validated scale name + citation, or 'novel — written for this study').</w:t>
      </w:r>
    </w:p>
    <w:p>
      <w:pPr>
        <w:pStyle w:val="ListBullet"/>
        <w:spacing w:after="40"/>
      </w:pPr>
      <w:r>
        <w:rPr>
          <w:rFonts w:ascii="Open Sans" w:hAnsi="Open Sans" w:cs="Open Sans"/>
          <w:sz w:val="21"/>
        </w:rPr>
        <w:t>Identify 2 items you expect to revise after pilot testing and explain why.</w:t>
      </w:r>
    </w:p>
    <w:p>
      <w:pPr>
        <w:pStyle w:val="ListBullet"/>
        <w:spacing w:after="40"/>
      </w:pPr>
      <w:r>
        <w:rPr>
          <w:rFonts w:ascii="Open Sans" w:hAnsi="Open Sans" w:cs="Open Sans"/>
          <w:sz w:val="21"/>
        </w:rPr>
        <w:t>Include consent and demographic blocks.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covered item construction, scale validation, and pilot strategy. Apply it to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instrument to Week 5.</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"Questionnaire Design"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Validated items dominate where validated scales exist. Novel items are clearly justified.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Instrument Draft</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Validated items dominate where validated scales exist.</w:t>
      </w:r>
    </w:p>
    <w:p>
      <w:pPr>
        <w:pStyle w:val="ListBullet"/>
        <w:spacing w:after="40"/>
      </w:pPr>
      <w:r>
        <w:rPr>
          <w:rFonts w:ascii="Open Sans" w:hAnsi="Open Sans" w:cs="Open Sans"/>
          <w:sz w:val="21"/>
        </w:rPr>
        <w:t>Novel items are clearly justified.</w:t>
      </w:r>
    </w:p>
    <w:p>
      <w:pPr>
        <w:pStyle w:val="ListBullet"/>
        <w:spacing w:after="40"/>
      </w:pPr>
      <w:r>
        <w:rPr>
          <w:rFonts w:ascii="Open Sans" w:hAnsi="Open Sans" w:cs="Open Sans"/>
          <w:sz w:val="21"/>
        </w:rPr>
        <w:t>Item flow respects cognitive load and sensitivity ordering.</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05</w:t>
      </w:r>
    </w:p>
    <w:p>
      <w:pPr>
        <w:spacing w:after="40"/>
      </w:pPr>
      <w:r>
        <w:rPr>
          <w:rFonts w:ascii="Open Sans" w:hAnsi="Open Sans" w:cs="Open Sans"/>
          <w:b/>
          <w:color w:val="065C50"/>
          <w:sz w:val="32"/>
        </w:rPr>
        <w:t>Outcome Definition &amp; Measurement Plan</w:t>
      </w:r>
    </w:p>
    <w:p>
      <w:pPr>
        <w:spacing w:after="80"/>
      </w:pPr>
      <w:r>
        <w:rPr>
          <w:rFonts w:ascii="Open Sans" w:hAnsi="Open Sans" w:cs="Open Sans"/>
          <w:i/>
          <w:color w:val="555555"/>
          <w:sz w:val="18"/>
        </w:rPr>
        <w:t>Lecture 5 — Measures of Disease Frequency</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Define your primary outcome and how you will measure its frequency.</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Primary outcome: case definition with inclusion/exclusion rules.</w:t>
      </w:r>
    </w:p>
    <w:p>
      <w:pPr>
        <w:pStyle w:val="ListBullet"/>
        <w:spacing w:after="40"/>
      </w:pPr>
      <w:r>
        <w:rPr>
          <w:rFonts w:ascii="Open Sans" w:hAnsi="Open Sans" w:cs="Open Sans"/>
          <w:sz w:val="21"/>
        </w:rPr>
        <w:t>Frequency measure (incidence, prevalence, cumulative incidence) with rationale.</w:t>
      </w:r>
    </w:p>
    <w:p>
      <w:pPr>
        <w:pStyle w:val="ListBullet"/>
        <w:spacing w:after="40"/>
      </w:pPr>
      <w:r>
        <w:rPr>
          <w:rFonts w:ascii="Open Sans" w:hAnsi="Open Sans" w:cs="Open Sans"/>
          <w:sz w:val="21"/>
        </w:rPr>
        <w:t>Time-at-risk definition and unit of measurement.</w:t>
      </w:r>
    </w:p>
    <w:p>
      <w:pPr>
        <w:pStyle w:val="ListBullet"/>
        <w:spacing w:after="40"/>
      </w:pPr>
      <w:r>
        <w:rPr>
          <w:rFonts w:ascii="Open Sans" w:hAnsi="Open Sans" w:cs="Open Sans"/>
          <w:sz w:val="21"/>
        </w:rPr>
        <w:t>Submitted as a 1–2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distinguished prevalence from incidence and made cumulative-incidence vs. incidence-rate explicit. Your protocol needs to commit.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outcome plan to Week 6.</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"Measures of Disease Frequency"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Case definition is operational, not aspirational. Frequency measure matches the question and design.</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Outcome Definition &amp; Measurement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Case definition is operational, not aspirational.</w:t>
      </w:r>
    </w:p>
    <w:p>
      <w:pPr>
        <w:pStyle w:val="ListBullet"/>
        <w:spacing w:after="40"/>
      </w:pPr>
      <w:r>
        <w:rPr>
          <w:rFonts w:ascii="Open Sans" w:hAnsi="Open Sans" w:cs="Open Sans"/>
          <w:sz w:val="21"/>
        </w:rPr>
        <w:t>Frequency measure matches the question and design.</w:t>
      </w:r>
    </w:p>
    <w:p>
      <w:pPr>
        <w:pStyle w:val="ListBullet"/>
        <w:spacing w:after="40"/>
      </w:pPr>
      <w:r>
        <w:rPr>
          <w:rFonts w:ascii="Open Sans" w:hAnsi="Open Sans" w:cs="Open Sans"/>
          <w:sz w:val="21"/>
        </w:rPr>
        <w:t>Time-at-risk is defined precisely.</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06</w:t>
      </w:r>
    </w:p>
    <w:p>
      <w:pPr>
        <w:spacing w:after="40"/>
      </w:pPr>
      <w:r>
        <w:rPr>
          <w:rFonts w:ascii="Open Sans" w:hAnsi="Open Sans" w:cs="Open Sans"/>
          <w:b/>
          <w:color w:val="065C50"/>
          <w:sz w:val="32"/>
        </w:rPr>
        <w:t>Screening / Classification Plan</w:t>
      </w:r>
    </w:p>
    <w:p>
      <w:pPr>
        <w:spacing w:after="80"/>
      </w:pPr>
      <w:r>
        <w:rPr>
          <w:rFonts w:ascii="Open Sans" w:hAnsi="Open Sans" w:cs="Open Sans"/>
          <w:i/>
          <w:color w:val="555555"/>
          <w:sz w:val="18"/>
        </w:rPr>
        <w:t>Lecture 6 — Screening and Diagnostic Tests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If you rely on a screening test, justify cutoffs. If not, document classification rules.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If using a screening or diagnostic test: justify the cutoff, document sensitivity/specificity from validation studies, calculate expected PPV at your population's prevalence.</w:t>
      </w:r>
    </w:p>
    <w:p>
      <w:pPr>
        <w:pStyle w:val="ListBullet"/>
        <w:spacing w:after="40"/>
      </w:pPr>
      <w:r>
        <w:rPr>
          <w:rFonts w:ascii="Open Sans" w:hAnsi="Open Sans" w:cs="Open Sans"/>
          <w:sz w:val="21"/>
        </w:rPr>
        <w:t>If not: document the rules used to classify cases, controls, exposed, unexposed.</w:t>
      </w:r>
    </w:p>
    <w:p>
      <w:pPr>
        <w:pStyle w:val="ListBullet"/>
        <w:spacing w:after="40"/>
      </w:pPr>
      <w:r>
        <w:rPr>
          <w:rFonts w:ascii="Open Sans" w:hAnsi="Open Sans" w:cs="Open Sans"/>
          <w:sz w:val="21"/>
        </w:rPr>
        <w:t>Submitted as a 1–2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showed how prevalence dictates PPV. Your cutoff is a design decision, not a clinical default.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classification plan to Week 7.</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"Screening and Diagnostic Tests"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Sens/spec sourced from a real validation study. PPV calculated at your population's prevalence.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Screening / Classification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Sens/spec sourced from a real validation study.</w:t>
      </w:r>
    </w:p>
    <w:p>
      <w:pPr>
        <w:pStyle w:val="ListBullet"/>
        <w:spacing w:after="40"/>
      </w:pPr>
      <w:r>
        <w:rPr>
          <w:rFonts w:ascii="Open Sans" w:hAnsi="Open Sans" w:cs="Open Sans"/>
          <w:sz w:val="21"/>
        </w:rPr>
        <w:t>PPV calculated at your population's prevalence.</w:t>
      </w:r>
    </w:p>
    <w:p>
      <w:pPr>
        <w:pStyle w:val="ListBullet"/>
        <w:spacing w:after="40"/>
      </w:pPr>
      <w:r>
        <w:rPr>
          <w:rFonts w:ascii="Open Sans" w:hAnsi="Open Sans" w:cs="Open Sans"/>
          <w:sz w:val="21"/>
        </w:rPr>
        <w:t>Classification rules cover edge cases.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07</w:t>
      </w:r>
    </w:p>
    <w:p>
      <w:pPr>
        <w:spacing w:after="40"/>
      </w:pPr>
      <w:r>
        <w:rPr>
          <w:rFonts w:ascii="Open Sans" w:hAnsi="Open Sans" w:cs="Open Sans"/>
          <w:b/>
          <w:color w:val="065C50"/>
          <w:sz w:val="32"/>
        </w:rPr>
        <w:t>Pre-Registered Hypotheses &amp; Effect Measures</w:t>
      </w:r>
    </w:p>
    <w:p>
      <w:pPr>
        <w:spacing w:after="80"/>
      </w:pPr>
      <w:r>
        <w:rPr>
          <w:rFonts w:ascii="Open Sans" w:hAnsi="Open Sans" w:cs="Open Sans"/>
          <w:i/>
          <w:color w:val="555555"/>
          <w:sz w:val="18"/>
        </w:rPr>
        <w:t>Lecture 7 — Measures of Association</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Pre-register your hypotheses, expected effect direction, and effect measures.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Primary hypothesis (with directionality if defensible).</w:t>
      </w:r>
    </w:p>
    <w:p>
      <w:pPr>
        <w:pStyle w:val="ListBullet"/>
        <w:spacing w:after="40"/>
      </w:pPr>
      <w:r>
        <w:rPr>
          <w:rFonts w:ascii="Open Sans" w:hAnsi="Open Sans" w:cs="Open Sans"/>
          <w:sz w:val="21"/>
        </w:rPr>
        <w:t>Effect measure to be reported (RR, OR, HR, or PR) with rationale.</w:t>
      </w:r>
    </w:p>
    <w:p>
      <w:pPr>
        <w:pStyle w:val="ListBullet"/>
        <w:spacing w:after="40"/>
      </w:pPr>
      <w:r>
        <w:rPr>
          <w:rFonts w:ascii="Open Sans" w:hAnsi="Open Sans" w:cs="Open Sans"/>
          <w:sz w:val="21"/>
        </w:rPr>
        <w:t>Expected magnitude with a citation or pilot estimate.</w:t>
      </w:r>
    </w:p>
    <w:p>
      <w:pPr>
        <w:pStyle w:val="ListBullet"/>
        <w:spacing w:after="40"/>
      </w:pPr>
      <w:r>
        <w:rPr>
          <w:rFonts w:ascii="Open Sans" w:hAnsi="Open Sans" w:cs="Open Sans"/>
          <w:sz w:val="21"/>
        </w:rPr>
        <w:t>Pre-specified secondary and subgroup analyses (and a hard cap on how many).</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distinguished RR/OR/HR/PR. Your protocol commits to one — and to which subgroups you'll look at, before you look.</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pre-registration to Week 8.</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"Measures of Association"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Effect measure matches the design and outcome type. Subgroup analyses are pre-specified and limited.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Pre-Registered Hypotheses &amp; Effect Measures</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Effect measure matches the design and outcome type.</w:t>
      </w:r>
    </w:p>
    <w:p>
      <w:pPr>
        <w:pStyle w:val="ListBullet"/>
        <w:spacing w:after="40"/>
      </w:pPr>
      <w:r>
        <w:rPr>
          <w:rFonts w:ascii="Open Sans" w:hAnsi="Open Sans" w:cs="Open Sans"/>
          <w:sz w:val="21"/>
        </w:rPr>
        <w:t>Subgroup analyses are pre-specified and limited.</w:t>
      </w:r>
    </w:p>
    <w:p>
      <w:pPr>
        <w:pStyle w:val="ListBullet"/>
        <w:spacing w:after="40"/>
      </w:pPr>
      <w:r>
        <w:rPr>
          <w:rFonts w:ascii="Open Sans" w:hAnsi="Open Sans" w:cs="Open Sans"/>
          <w:sz w:val="21"/>
        </w:rPr>
        <w:t>Expected magnitude is defended, not invented.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08</w:t>
      </w:r>
    </w:p>
    <w:p>
      <w:pPr>
        <w:spacing w:after="40"/>
      </w:pPr>
      <w:r>
        <w:rPr>
          <w:rFonts w:ascii="Open Sans" w:hAnsi="Open Sans" w:cs="Open Sans"/>
          <w:b/>
          <w:color w:val="065C50"/>
          <w:sz w:val="32"/>
        </w:rPr>
        <w:t>Design Justification Memo</w:t>
      </w:r>
    </w:p>
    <w:p>
      <w:pPr>
        <w:spacing w:after="80"/>
      </w:pPr>
      <w:r>
        <w:rPr>
          <w:rFonts w:ascii="Open Sans" w:hAnsi="Open Sans" w:cs="Open Sans"/>
          <w:i/>
          <w:color w:val="555555"/>
          <w:sz w:val="18"/>
        </w:rPr>
        <w:t>Lecture 8 — Review of Study Design Concepts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Defend your chosen study design against two alternatives.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1–2 page memo defending your design (cohort, case-control, cross-sectional, ecological, intervention).</w:t>
      </w:r>
    </w:p>
    <w:p>
      <w:pPr>
        <w:pStyle w:val="ListBullet"/>
        <w:spacing w:after="40"/>
      </w:pPr>
      <w:r>
        <w:rPr>
          <w:rFonts w:ascii="Open Sans" w:hAnsi="Open Sans" w:cs="Open Sans"/>
          <w:sz w:val="21"/>
        </w:rPr>
        <w:t>Compare against 2 alternative designs on: feasibility, cost, internal validity, ethical risk.</w:t>
      </w:r>
    </w:p>
    <w:p>
      <w:pPr>
        <w:pStyle w:val="ListBullet"/>
        <w:spacing w:after="40"/>
      </w:pPr>
      <w:r>
        <w:rPr>
          <w:rFonts w:ascii="Open Sans" w:hAnsi="Open Sans" w:cs="Open Sans"/>
          <w:sz w:val="21"/>
        </w:rPr>
        <w:t>Justify your choice as the best trade-off given constraints.</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review let you compare designs as a portfolio. Make the trade-off visible in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memo to Week 9.</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"Review of Study Design Concepts"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Two real alternatives compared (not strawmen). Trade-offs are quantitative where possible.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Design Justification Memo</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Two real alternatives compared (not strawmen).</w:t>
      </w:r>
    </w:p>
    <w:p>
      <w:pPr>
        <w:pStyle w:val="ListBullet"/>
        <w:spacing w:after="40"/>
      </w:pPr>
      <w:r>
        <w:rPr>
          <w:rFonts w:ascii="Open Sans" w:hAnsi="Open Sans" w:cs="Open Sans"/>
          <w:sz w:val="21"/>
        </w:rPr>
        <w:t>Trade-offs are quantitative where possible.</w:t>
      </w:r>
    </w:p>
    <w:p>
      <w:pPr>
        <w:pStyle w:val="ListBullet"/>
        <w:spacing w:after="40"/>
      </w:pPr>
      <w:r>
        <w:rPr>
          <w:rFonts w:ascii="Open Sans" w:hAnsi="Open Sans" w:cs="Open Sans"/>
          <w:sz w:val="21"/>
        </w:rPr>
        <w:t>Choice is defended, not asserted.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09</w:t>
      </w:r>
    </w:p>
    <w:p>
      <w:pPr>
        <w:spacing w:after="40"/>
      </w:pPr>
      <w:r>
        <w:rPr>
          <w:rFonts w:ascii="Open Sans" w:hAnsi="Open Sans" w:cs="Open Sans"/>
          <w:b/>
          <w:color w:val="065C50"/>
          <w:sz w:val="32"/>
        </w:rPr>
        <w:t>Recruitment &amp; Retention Plan</w:t>
      </w:r>
    </w:p>
    <w:p>
      <w:pPr>
        <w:spacing w:after="80"/>
      </w:pPr>
      <w:r>
        <w:rPr>
          <w:rFonts w:ascii="Open Sans" w:hAnsi="Open Sans" w:cs="Open Sans"/>
          <w:i/>
          <w:color w:val="555555"/>
          <w:sz w:val="18"/>
        </w:rPr>
        <w:t>Lecture 9 — Hybrid Study Designs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Specify recruitment, retention, and follow-up procedures.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Recruitment channels (named — e.g., specific clinic, social-media platform).</w:t>
      </w:r>
    </w:p>
    <w:p>
      <w:pPr>
        <w:pStyle w:val="ListBullet"/>
        <w:spacing w:after="40"/>
      </w:pPr>
      <w:r>
        <w:rPr>
          <w:rFonts w:ascii="Open Sans" w:hAnsi="Open Sans" w:cs="Open Sans"/>
          <w:sz w:val="21"/>
        </w:rPr>
        <w:t>Recruitment-script summary (with consent disclosure highlights).</w:t>
      </w:r>
    </w:p>
    <w:p>
      <w:pPr>
        <w:pStyle w:val="ListBullet"/>
        <w:spacing w:after="40"/>
      </w:pPr>
      <w:r>
        <w:rPr>
          <w:rFonts w:ascii="Open Sans" w:hAnsi="Open Sans" w:cs="Open Sans"/>
          <w:sz w:val="21"/>
        </w:rPr>
        <w:t>Retention strategy: contact frequency, modes, incentives.</w:t>
      </w:r>
    </w:p>
    <w:p>
      <w:pPr>
        <w:pStyle w:val="ListBullet"/>
        <w:spacing w:after="40"/>
      </w:pPr>
      <w:r>
        <w:rPr>
          <w:rFonts w:ascii="Open Sans" w:hAnsi="Open Sans" w:cs="Open Sans"/>
          <w:sz w:val="21"/>
        </w:rPr>
        <w:t>Expected loss-to-follow-up and how it would shift power.</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Hybrid designs add power but compound recruitment complexity. Make recruitment infrastructure explicit.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plan to Week 10.</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"Hybrid Study Designs"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Recruitment channels are specific and feasible. Retention is operationalized (not 'we will follow up').</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Recruitment &amp; Retention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Recruitment channels are specific and feasible.</w:t>
      </w:r>
    </w:p>
    <w:p>
      <w:pPr>
        <w:pStyle w:val="ListBullet"/>
        <w:spacing w:after="40"/>
      </w:pPr>
      <w:r>
        <w:rPr>
          <w:rFonts w:ascii="Open Sans" w:hAnsi="Open Sans" w:cs="Open Sans"/>
          <w:sz w:val="21"/>
        </w:rPr>
        <w:t>Retention is operationalized (not 'we will follow up').</w:t>
      </w:r>
    </w:p>
    <w:p>
      <w:pPr>
        <w:pStyle w:val="ListBullet"/>
        <w:spacing w:after="40"/>
      </w:pPr>
      <w:r>
        <w:rPr>
          <w:rFonts w:ascii="Open Sans" w:hAnsi="Open Sans" w:cs="Open Sans"/>
          <w:sz w:val="21"/>
        </w:rPr>
        <w:t>LTF impact on power is quantified.</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10</w:t>
      </w:r>
    </w:p>
    <w:p>
      <w:pPr>
        <w:spacing w:after="40"/>
      </w:pPr>
      <w:r>
        <w:rPr>
          <w:rFonts w:ascii="Open Sans" w:hAnsi="Open Sans" w:cs="Open Sans"/>
          <w:b/>
          <w:color w:val="065C50"/>
          <w:sz w:val="32"/>
        </w:rPr>
        <w:t>Bias &amp; Control Strategy</w:t>
      </w:r>
    </w:p>
    <w:p>
      <w:pPr>
        <w:spacing w:after="80"/>
      </w:pPr>
      <w:r>
        <w:rPr>
          <w:rFonts w:ascii="Open Sans" w:hAnsi="Open Sans" w:cs="Open Sans"/>
          <w:i/>
          <w:color w:val="555555"/>
          <w:sz w:val="18"/>
        </w:rPr>
        <w:t>Lecture 10 — Controlled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List threats to internal validity and your control strategies.</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Enumerate threats to internal validity for your design (selection, information, confounding, time-varying threats).</w:t>
      </w:r>
    </w:p>
    <w:p>
      <w:pPr>
        <w:pStyle w:val="ListBullet"/>
        <w:spacing w:after="40"/>
      </w:pPr>
      <w:r>
        <w:rPr>
          <w:rFonts w:ascii="Open Sans" w:hAnsi="Open Sans" w:cs="Open Sans"/>
          <w:sz w:val="21"/>
        </w:rPr>
        <w:t>For each, name your control strategy: randomization, restriction, matching, blocking, blinding, statistical adjustment.</w:t>
      </w:r>
    </w:p>
    <w:p>
      <w:pPr>
        <w:pStyle w:val="ListBullet"/>
        <w:spacing w:after="40"/>
      </w:pPr>
      <w:r>
        <w:rPr>
          <w:rFonts w:ascii="Open Sans" w:hAnsi="Open Sans" w:cs="Open Sans"/>
          <w:sz w:val="21"/>
        </w:rPr>
        <w:t>Submit as a 1-page table + 1-paragraph narrative.</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made controls a structural feature, not a statistical afterthought. Bake controls into your protocol.</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Bring strategy to Week 11.</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"Controlled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Threats are design-specific, not generic. Control strategies match each threat.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Bias &amp; Control Strategy</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Threats are design-specific, not generic.</w:t>
      </w:r>
    </w:p>
    <w:p>
      <w:pPr>
        <w:pStyle w:val="ListBullet"/>
        <w:spacing w:after="40"/>
      </w:pPr>
      <w:r>
        <w:rPr>
          <w:rFonts w:ascii="Open Sans" w:hAnsi="Open Sans" w:cs="Open Sans"/>
          <w:sz w:val="21"/>
        </w:rPr>
        <w:t>Control strategies match each threat.</w:t>
      </w:r>
    </w:p>
    <w:p>
      <w:pPr>
        <w:pStyle w:val="ListBullet"/>
        <w:spacing w:after="40"/>
      </w:pPr>
      <w:r>
        <w:rPr>
          <w:rFonts w:ascii="Open Sans" w:hAnsi="Open Sans" w:cs="Open Sans"/>
          <w:sz w:val="21"/>
        </w:rPr>
        <w:t>Distinguishes design-stage controls from analysis-stage controls.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WEEK 11</w:t>
      </w:r>
    </w:p>
    <w:p>
      <w:pPr>
        <w:spacing w:after="40"/>
      </w:pPr>
      <w:r>
        <w:rPr>
          <w:rFonts w:ascii="Open Sans" w:hAnsi="Open Sans" w:cs="Open Sans"/>
          <w:b/>
          <w:color w:val="065C50"/>
          <w:sz w:val="32"/>
        </w:rPr>
        <w:t>Validity Audit + Pre-Analysis Plan</w:t>
      </w:r>
    </w:p>
    <w:p>
      <w:pPr>
        <w:spacing w:after="80"/>
      </w:pPr>
      <w:r>
        <w:rPr>
          <w:rFonts w:ascii="Open Sans" w:hAnsi="Open Sans" w:cs="Open Sans"/>
          <w:i/>
          <w:color w:val="555555"/>
          <w:sz w:val="18"/>
        </w:rPr>
        <w:t>Lecture 12 — Validity in Observational Studies</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Audit your protocol for validity threats and lock the analysis plan.</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Validity audit: selection, information, confounding threats remaining after Week 10's controls.</w:t>
      </w:r>
    </w:p>
    <w:p>
      <w:pPr>
        <w:pStyle w:val="ListBullet"/>
        <w:spacing w:after="40"/>
      </w:pPr>
      <w:r>
        <w:rPr>
          <w:rFonts w:ascii="Open Sans" w:hAnsi="Open Sans" w:cs="Open Sans"/>
          <w:sz w:val="21"/>
        </w:rPr>
        <w:t>Pre-analysis plan: primary analysis (model, software, decision rule), 2 sensitivity analyses, multiplicity strategy.</w:t>
      </w:r>
    </w:p>
    <w:p>
      <w:pPr>
        <w:pStyle w:val="ListBullet"/>
        <w:spacing w:after="40"/>
      </w:pPr>
      <w:r>
        <w:rPr>
          <w:rFonts w:ascii="Open Sans" w:hAnsi="Open Sans" w:cs="Open Sans"/>
          <w:sz w:val="21"/>
        </w:rPr>
        <w:t>Submitted as a 2–3 page section.</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set the standard for credible observational inference. Lock in your plan before final submission.</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Last milestone before final submission. Pre-analysis plan must be finalized.</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"Validity in Observational Studies"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Audit goes beyond Week 10's threats. Pre-analysis plan is specific enough to be replicated.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Validity Audit + Pre-Analysis Plan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Audit goes beyond Week 10's threats.</w:t>
      </w:r>
    </w:p>
    <w:p>
      <w:pPr>
        <w:pStyle w:val="ListBullet"/>
        <w:spacing w:after="40"/>
      </w:pPr>
      <w:r>
        <w:rPr>
          <w:rFonts w:ascii="Open Sans" w:hAnsi="Open Sans" w:cs="Open Sans"/>
          <w:sz w:val="21"/>
        </w:rPr>
        <w:t>Pre-analysis plan is specific enough to be replicated.</w:t>
      </w:r>
    </w:p>
    <w:p>
      <w:pPr>
        <w:pStyle w:val="ListBullet"/>
        <w:spacing w:after="40"/>
      </w:pPr>
      <w:r>
        <w:rPr>
          <w:rFonts w:ascii="Open Sans" w:hAnsi="Open Sans" w:cs="Open Sans"/>
          <w:sz w:val="21"/>
        </w:rPr>
        <w:t>Sensitivity analyses target the most fragile assumptions.</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Students should refine and integrate this milestone in Week 13's final submission rather than re-submit it raw.</w:t>
            </w:r>
          </w:p>
        </w:tc>
      </w:tr>
    </w:tbl>
    <w:p>
      <w:pPr>
        <w:spacing w:after="80"/>
      </w:pPr>
    </w:p>
    <w:p>
      <w:pPr>
        <w:pBdr>
          <w:bottom w:val="single" w:sz="8" w:space="1" w:color="D6DCDB"/>
        </w:pBdr>
        <w:spacing w:after="120"/>
      </w:pPr>
    </w:p>
    <w:p>
      <w:pPr>
        <w:spacing w:after="40"/>
      </w:pPr>
      <w:r>
        <w:rPr>
          <w:rFonts w:ascii="Open Sans" w:hAnsi="Open Sans" w:cs="Open Sans"/>
          <w:b/>
          <w:color w:val="999999"/>
          <w:sz w:val="16"/>
          <w:spacing w:val="60"/>
        </w:rPr>
        <w:t>FINAL · WEEK 12</w:t>
      </w:r>
    </w:p>
    <w:p>
      <w:pPr>
        <w:spacing w:after="40"/>
      </w:pPr>
      <w:r>
        <w:rPr>
          <w:rFonts w:ascii="Open Sans" w:hAnsi="Open Sans" w:cs="Open Sans"/>
          <w:b/>
          <w:color w:val="CC0033"/>
          <w:sz w:val="32"/>
        </w:rPr>
        <w:t>FINAL: Complete Protocol + Mock REB Application</w:t>
      </w:r>
    </w:p>
    <w:p>
      <w:pPr>
        <w:spacing w:after="80"/>
      </w:pPr>
      <w:r>
        <w:rPr>
          <w:rFonts w:ascii="Open Sans" w:hAnsi="Open Sans" w:cs="Open Sans"/>
          <w:i/>
          <w:color w:val="555555"/>
          <w:sz w:val="18"/>
        </w:rPr>
        <w:t>Lecture 13 — Confounding and Causal Inference</w:t>
      </w:r>
    </w:p>
    <w:p>
      <w:pPr>
        <w:spacing w:before="160" w:after="40"/>
        <w:outlineLvl w:val="2"/>
      </w:pPr>
      <w:r>
        <w:rPr>
          <w:rFonts w:ascii="Open Sans" w:hAnsi="Open Sans" w:cs="Open Sans"/>
          <w:b/>
          <w:color w:val="042A25"/>
          <w:sz w:val="22"/>
        </w:rPr>
        <w:t>Brief</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E8F0EE"/>
            <w:tcMar>
              <w:top w:w="120" w:type="dxa"/>
              <w:bottom w:w="120" w:type="dxa"/>
              <w:left w:w="160" w:type="dxa"/>
              <w:right w:w="160" w:type="dxa"/>
            </w:tcMar>
            <w:tcBorders>
              <w:top w:val="single" w:sz="4" w:color="D6DCDB"/>
              <w:right w:val="single" w:sz="4" w:color="D6DCDB"/>
              <w:bottom w:val="single" w:sz="4" w:color="D6DCDB"/>
              <w:left w:val="single" w:sz="24" w:color="0B7B6B"/>
            </w:tcBorders>
          </w:tcPr>
          <w:p>
            <w:pPr>
              <w:spacing w:after="40"/>
            </w:pPr>
            <w:r/>
            <w:r>
              <w:rPr>
                <w:rFonts w:ascii="Open Sans" w:hAnsi="Open Sans" w:cs="Open Sans"/>
                <w:b/>
                <w:color w:val="065C50"/>
                <w:sz w:val="16"/>
              </w:rPr>
              <w:t>IN ONE SENTENCE</w:t>
            </w:r>
          </w:p>
          <w:p>
            <w:pPr>
              <w:spacing w:after="0"/>
            </w:pPr>
            <w:r>
              <w:rPr>
                <w:rFonts w:ascii="Open Sans" w:hAnsi="Open Sans" w:cs="Open Sans"/>
                <w:color w:val="042A25"/>
                <w:sz w:val="21"/>
              </w:rPr>
              <w:t>Submit the integrated study protocol and the full mock REB application package.</w:t>
            </w:r>
          </w:p>
        </w:tc>
      </w:tr>
    </w:tbl>
    <w:p>
      <w:pPr>
        <w:spacing w:after="80"/>
      </w:pPr>
    </w:p>
    <w:p>
      <w:pPr>
        <w:spacing w:after="40"/>
      </w:pPr>
      <w:r>
        <w:rPr>
          <w:rFonts w:ascii="Open Sans" w:hAnsi="Open Sans" w:cs="Open Sans"/>
          <w:b/>
          <w:i w:val="0"/>
          <w:color w:val="042A25"/>
          <w:sz w:val="21"/>
        </w:rPr>
        <w:t>What to submit</w:t>
      </w:r>
    </w:p>
    <w:p>
      <w:pPr>
        <w:pStyle w:val="ListBullet"/>
        <w:spacing w:after="40"/>
      </w:pPr>
      <w:r>
        <w:rPr>
          <w:rFonts w:ascii="Open Sans" w:hAnsi="Open Sans" w:cs="Open Sans"/>
          <w:sz w:val="21"/>
        </w:rPr>
        <w:t>Integrated 15–25 page protocol covering all 12 milestone sections.</w:t>
      </w:r>
    </w:p>
    <w:p>
      <w:pPr>
        <w:pStyle w:val="ListBullet"/>
        <w:spacing w:after="40"/>
      </w:pPr>
      <w:r>
        <w:rPr>
          <w:rFonts w:ascii="Open Sans" w:hAnsi="Open Sans" w:cs="Open Sans"/>
          <w:sz w:val="21"/>
        </w:rPr>
        <w:t>Mock REB application package: TCPS 2-style consent form, risk-benefit narrative, recruitment materials, COI disclosure, data security plan.</w:t>
      </w:r>
    </w:p>
    <w:p>
      <w:pPr>
        <w:pStyle w:val="ListBullet"/>
        <w:spacing w:after="40"/>
      </w:pPr>
      <w:r>
        <w:rPr>
          <w:rFonts w:ascii="Open Sans" w:hAnsi="Open Sans" w:cs="Open Sans"/>
          <w:sz w:val="21"/>
        </w:rPr>
        <w:t>1-page cover letter to the (hypothetical) REB chair.</w:t>
      </w:r>
    </w:p>
    <w:p>
      <w:pPr>
        <w:spacing w:after="40"/>
      </w:pPr>
      <w:r>
        <w:rPr>
          <w:rFonts w:ascii="Open Sans" w:hAnsi="Open Sans" w:cs="Open Sans"/>
          <w:b/>
          <w:i w:val="0"/>
          <w:color w:val="042A25"/>
          <w:sz w:val="21"/>
        </w:rPr>
        <w:t>Why this week</w:t>
      </w:r>
    </w:p>
    <w:p>
      <w:pPr>
        <w:spacing w:after="120"/>
      </w:pPr>
      <w:r>
        <w:rPr>
          <w:rFonts w:ascii="Open Sans" w:hAnsi="Open Sans" w:cs="Open Sans"/>
          <w:b w:val="0"/>
          <w:i w:val="0"/>
          <w:sz w:val="21"/>
        </w:rPr>
        <w:t>Today's lecture closed the loop on causal inference in observational settings. Your final protocol should read like a study a real REB could greenlight.</w:t>
      </w:r>
    </w:p>
    <w:p>
      <w:pPr>
        <w:spacing w:after="40"/>
      </w:pPr>
      <w:r>
        <w:rPr>
          <w:rFonts w:ascii="Open Sans" w:hAnsi="Open Sans" w:cs="Open Sans"/>
          <w:b/>
          <w:i w:val="0"/>
          <w:color w:val="042A25"/>
          <w:sz w:val="21"/>
        </w:rPr>
        <w:t>Due</w:t>
      </w:r>
    </w:p>
    <w:p>
      <w:pPr>
        <w:spacing w:after="120"/>
      </w:pPr>
      <w:r>
        <w:rPr>
          <w:rFonts w:ascii="Open Sans" w:hAnsi="Open Sans" w:cs="Open Sans"/>
          <w:b w:val="0"/>
          <w:i w:val="0"/>
          <w:sz w:val="21"/>
        </w:rPr>
        <w:t>Final submission due end of week.</w:t>
      </w:r>
    </w:p>
    <w:p>
      <w:pPr>
        <w:spacing w:before="160" w:after="40"/>
        <w:outlineLvl w:val="2"/>
      </w:pPr>
      <w:r>
        <w:rPr>
          <w:rFonts w:ascii="Open Sans" w:hAnsi="Open Sans" w:cs="Open Sans"/>
          <w:b/>
          <w:color w:val="042A25"/>
          <w:sz w:val="22"/>
        </w:rPr>
        <w:t>Rubric</w:t>
      </w:r>
    </w:p>
    <w:p>
      <w:pPr>
        <w:spacing w:after="120"/>
      </w:pPr>
      <w:r>
        <w:rPr>
          <w:rFonts w:ascii="Open Sans" w:hAnsi="Open Sans" w:cs="Open Sans"/>
          <w:b w:val="0"/>
          <w:i/>
          <w:color w:val="555555"/>
          <w:sz w:val="20"/>
        </w:rPr>
        <w:t>Weekly capstone milestones are marked out of 5 and contribute toward the participation/term-project grade. The default rule: any student who submits on time, applied that week's lecture content to their own topic, and was honest about uncertainty earns 5/5. Use partial credit only when a criterion is visibly skipped or weakly attempted.</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Alignment with this week's content</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Submission demonstrates that the student applied the lecture concepts from "Confounding and Causal Inference" to their own capstone topic — not generic application.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Depth &amp; specificity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Protocol is integrated, not 12 stapled milestones. Consent form is in plain language, TCPS 2-aligned.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2</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named sources (papers, datasets, registries). No hand-waving; no Wikipedia-only support.</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clarity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Submission is structured, clearly written, and could be reproduced or built on by next week's milestone. Honest acknowledgment of uncertainty earns full credit.</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1</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Weekly milestone — FINAL: Complete Protocol + Mock REB Application</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5</w:t>
            </w:r>
          </w:p>
        </w:tc>
      </w:tr>
    </w:tbl>
    <w:p>
      <w:pPr>
        <w:spacing w:after="40"/>
      </w:pPr>
      <w:r>
        <w:rPr>
          <w:rFonts w:ascii="Open Sans" w:hAnsi="Open Sans" w:cs="Open Sans"/>
          <w:b/>
          <w:i w:val="0"/>
          <w:color w:val="042A25"/>
          <w:sz w:val="21"/>
        </w:rPr>
        <w:t>What to look for</w:t>
      </w:r>
    </w:p>
    <w:p>
      <w:pPr>
        <w:pStyle w:val="ListBullet"/>
        <w:spacing w:after="40"/>
      </w:pPr>
      <w:r>
        <w:rPr>
          <w:rFonts w:ascii="Open Sans" w:hAnsi="Open Sans" w:cs="Open Sans"/>
          <w:sz w:val="21"/>
        </w:rPr>
        <w:t>Protocol is integrated, not 12 stapled milestones.</w:t>
      </w:r>
    </w:p>
    <w:p>
      <w:pPr>
        <w:pStyle w:val="ListBullet"/>
        <w:spacing w:after="40"/>
      </w:pPr>
      <w:r>
        <w:rPr>
          <w:rFonts w:ascii="Open Sans" w:hAnsi="Open Sans" w:cs="Open Sans"/>
          <w:sz w:val="21"/>
        </w:rPr>
        <w:t>Consent form is in plain language, TCPS 2-aligned.</w:t>
      </w:r>
    </w:p>
    <w:p>
      <w:pPr>
        <w:pStyle w:val="ListBullet"/>
        <w:spacing w:after="40"/>
      </w:pPr>
      <w:r>
        <w:rPr>
          <w:rFonts w:ascii="Open Sans" w:hAnsi="Open Sans" w:cs="Open Sans"/>
          <w:sz w:val="21"/>
        </w:rPr>
        <w:t>Risk-benefit narrative is honest and specific.</w:t>
      </w:r>
    </w:p>
    <w:p>
      <w:pPr>
        <w:spacing w:after="40"/>
      </w:pPr>
      <w:r>
        <w:rPr>
          <w:rFonts w:ascii="Open Sans" w:hAnsi="Open Sans" w:cs="Open Sans"/>
          <w:b/>
          <w:i w:val="0"/>
          <w:color w:val="042A25"/>
          <w:sz w:val="21"/>
        </w:rPr>
        <w:t>Common pitfalls (deduct 1 mark each, max 2)</w:t>
      </w:r>
    </w:p>
    <w:p>
      <w:pPr>
        <w:pStyle w:val="ListBullet"/>
        <w:spacing w:after="40"/>
      </w:pPr>
      <w:r>
        <w:rPr>
          <w:rFonts w:ascii="Open Sans" w:hAnsi="Open Sans" w:cs="Open Sans"/>
          <w:sz w:val="21"/>
        </w:rPr>
        <w:t>Generic application — could be pasted into any classmate's project.</w:t>
      </w:r>
    </w:p>
    <w:p>
      <w:pPr>
        <w:pStyle w:val="ListBullet"/>
        <w:spacing w:after="40"/>
      </w:pPr>
      <w:r>
        <w:rPr>
          <w:rFonts w:ascii="Open Sans" w:hAnsi="Open Sans" w:cs="Open Sans"/>
          <w:sz w:val="21"/>
        </w:rPr>
        <w:t>Sources are missing or are Wikipedia-only / blog-only.</w:t>
      </w:r>
    </w:p>
    <w:p>
      <w:pPr>
        <w:pStyle w:val="ListBullet"/>
        <w:spacing w:after="40"/>
      </w:pPr>
      <w:r>
        <w:rPr>
          <w:rFonts w:ascii="Open Sans" w:hAnsi="Open Sans" w:cs="Open Sans"/>
          <w:sz w:val="21"/>
        </w:rPr>
        <w:t>Conclusion overclaims relative to evidence.</w:t>
      </w:r>
    </w:p>
    <w:p>
      <w:pPr>
        <w:pStyle w:val="ListBullet"/>
        <w:spacing w:after="40"/>
      </w:pPr>
      <w:r>
        <w:rPr>
          <w:rFonts w:ascii="Open Sans" w:hAnsi="Open Sans" w:cs="Open Sans"/>
          <w:sz w:val="21"/>
        </w:rPr>
        <w:t>Submitted past the deadline without prior arrangement.</w:t>
      </w: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FFF4F6"/>
            <w:tcMar>
              <w:top w:w="120" w:type="dxa"/>
              <w:bottom w:w="120" w:type="dxa"/>
              <w:left w:w="160" w:type="dxa"/>
              <w:right w:w="160" w:type="dxa"/>
            </w:tcMar>
            <w:tcBorders>
              <w:top w:val="single" w:sz="4" w:color="D6DCDB"/>
              <w:right w:val="single" w:sz="4" w:color="D6DCDB"/>
              <w:bottom w:val="single" w:sz="4" w:color="D6DCDB"/>
              <w:left w:val="single" w:sz="24" w:color="CC0033"/>
            </w:tcBorders>
          </w:tcPr>
          <w:p>
            <w:pPr>
              <w:spacing w:after="40"/>
            </w:pPr>
            <w:r/>
            <w:r>
              <w:rPr>
                <w:rFonts w:ascii="Open Sans" w:hAnsi="Open Sans" w:cs="Open Sans"/>
                <w:b/>
                <w:color w:val="065C50"/>
                <w:sz w:val="16"/>
              </w:rPr>
              <w:t>HOW THIS CONNECTS TO THE FINAL DELIVERABLE</w:t>
            </w:r>
          </w:p>
          <w:p>
            <w:pPr>
              <w:spacing w:after="0"/>
            </w:pPr>
            <w:r>
              <w:rPr>
                <w:rFonts w:ascii="Open Sans" w:hAnsi="Open Sans" w:cs="Open Sans"/>
                <w:color w:val="042A25"/>
                <w:sz w:val="21"/>
              </w:rPr>
              <w:t>This milestone becomes part of the final The Study Protocol &amp; Mock REB Application. This IS the final integrated submission.</w:t>
            </w:r>
          </w:p>
        </w:tc>
      </w:tr>
    </w:tbl>
    <w:p>
      <w:pPr>
        <w:spacing w:after="80"/>
      </w:pPr>
    </w:p>
    <w:p>
      <w:r>
        <w:br w:type="page"/>
      </w:r>
    </w:p>
    <w:p>
      <w:pPr>
        <w:spacing w:before="320" w:after="120"/>
        <w:outlineLvl w:val="0"/>
      </w:pPr>
      <w:r>
        <w:rPr>
          <w:rFonts w:ascii="Open Sans" w:hAnsi="Open Sans" w:cs="Open Sans"/>
          <w:b/>
          <w:color w:val="065C50"/>
          <w:sz w:val="36"/>
        </w:rPr>
        <w:t>PART 3 — Final integrated deliverable</w:t>
      </w:r>
    </w:p>
    <w:p>
      <w:pPr>
        <w:spacing w:after="40"/>
      </w:pPr>
      <w:r>
        <w:rPr>
          <w:rFonts w:ascii="Open Sans" w:hAnsi="Open Sans" w:cs="Open Sans"/>
          <w:b w:val="0"/>
          <w:i/>
          <w:color w:val="555555"/>
          <w:sz w:val="21"/>
        </w:rPr>
        <w:t>Final integrated study protocol + mock REB application — exemplar / template outline</w:t>
      </w:r>
    </w:p>
    <w:p>
      <w:pPr>
        <w:spacing w:after="80"/>
      </w:pPr>
      <w:r>
        <w:rPr>
          <w:rFonts w:ascii="Open Sans" w:hAnsi="Open Sans" w:cs="Open Sans"/>
          <w:i/>
          <w:color w:val="555555"/>
          <w:sz w:val="18"/>
        </w:rPr>
        <w:t>Use this outline as a starting point. You may reorganize sections, but cover all the topics below.</w:t>
      </w:r>
    </w:p>
    <w:p>
      <w:pPr>
        <w:spacing w:before="200" w:after="80"/>
        <w:outlineLvl w:val="1"/>
      </w:pPr>
      <w:r>
        <w:rPr>
          <w:rFonts w:ascii="Open Sans" w:hAnsi="Open Sans" w:cs="Open Sans"/>
          <w:b/>
          <w:color w:val="065C50"/>
          <w:sz w:val="26"/>
        </w:rPr>
        <w:t>Template outline</w:t>
      </w:r>
    </w:p>
    <w:p>
      <w:pPr>
        <w:spacing w:after="120"/>
      </w:pPr>
      <w:r>
        <w:rPr>
          <w:rFonts w:ascii="Open Sans" w:hAnsi="Open Sans" w:cs="Open Sans"/>
          <w:b w:val="0"/>
          <w:i w:val="0"/>
          <w:sz w:val="21"/>
        </w:rPr>
        <w:t>HSCI 341 — Public Health Surveillance and Methods  ·  Final deliverable</w:t>
      </w:r>
    </w:p>
    <w:p>
      <w:pPr>
        <w:spacing w:after="40"/>
      </w:pPr>
      <w:r>
        <w:rPr>
          <w:rFonts w:ascii="Open Sans" w:hAnsi="Open Sans" w:cs="Open Sans"/>
          <w:b/>
          <w:i w:val="0"/>
          <w:color w:val="065C50"/>
          <w:sz w:val="22"/>
        </w:rPr>
        <w:t>1. Cover page &amp; abstract</w:t>
      </w:r>
    </w:p>
    <w:p>
      <w:pPr>
        <w:spacing w:after="120"/>
      </w:pPr>
      <w:r>
        <w:rPr>
          <w:rFonts w:ascii="Open Sans" w:hAnsi="Open Sans" w:cs="Open Sans"/>
          <w:b w:val="0"/>
          <w:i w:val="0"/>
          <w:sz w:val="21"/>
        </w:rPr>
        <w:t>Study title, principal investigator, summary in 250 words.</w:t>
      </w:r>
    </w:p>
    <w:p>
      <w:pPr>
        <w:spacing w:after="40"/>
      </w:pPr>
      <w:r>
        <w:rPr>
          <w:rFonts w:ascii="Open Sans" w:hAnsi="Open Sans" w:cs="Open Sans"/>
          <w:b/>
          <w:i w:val="0"/>
          <w:color w:val="065C50"/>
          <w:sz w:val="22"/>
        </w:rPr>
        <w:t>2. Background &amp; rationale</w:t>
      </w:r>
    </w:p>
    <w:p>
      <w:pPr>
        <w:spacing w:after="120"/>
      </w:pPr>
      <w:r>
        <w:rPr>
          <w:rFonts w:ascii="Open Sans" w:hAnsi="Open Sans" w:cs="Open Sans"/>
          <w:b w:val="0"/>
          <w:i w:val="0"/>
          <w:sz w:val="21"/>
        </w:rPr>
        <w:t>Why the question matters, what existing surveillance covers, what gap your study fills.</w:t>
      </w:r>
    </w:p>
    <w:p>
      <w:pPr>
        <w:spacing w:after="40"/>
      </w:pPr>
      <w:r>
        <w:rPr>
          <w:rFonts w:ascii="Open Sans" w:hAnsi="Open Sans" w:cs="Open Sans"/>
          <w:b/>
          <w:i w:val="0"/>
          <w:color w:val="065C50"/>
          <w:sz w:val="22"/>
        </w:rPr>
        <w:t>3. Research question &amp; DAG</w:t>
      </w:r>
    </w:p>
    <w:p>
      <w:pPr>
        <w:spacing w:after="120"/>
      </w:pPr>
      <w:r>
        <w:rPr>
          <w:rFonts w:ascii="Open Sans" w:hAnsi="Open Sans" w:cs="Open Sans"/>
          <w:b w:val="0"/>
          <w:i w:val="0"/>
          <w:sz w:val="21"/>
        </w:rPr>
        <w:t>From Week 1, refined.</w:t>
      </w:r>
    </w:p>
    <w:p>
      <w:pPr>
        <w:spacing w:after="40"/>
      </w:pPr>
      <w:r>
        <w:rPr>
          <w:rFonts w:ascii="Open Sans" w:hAnsi="Open Sans" w:cs="Open Sans"/>
          <w:b/>
          <w:i w:val="0"/>
          <w:color w:val="065C50"/>
          <w:sz w:val="22"/>
        </w:rPr>
        <w:t>4. Study design with justification</w:t>
      </w:r>
    </w:p>
    <w:p>
      <w:pPr>
        <w:spacing w:after="120"/>
      </w:pPr>
      <w:r>
        <w:rPr>
          <w:rFonts w:ascii="Open Sans" w:hAnsi="Open Sans" w:cs="Open Sans"/>
          <w:b w:val="0"/>
          <w:i w:val="0"/>
          <w:sz w:val="21"/>
        </w:rPr>
        <w:t>From Week 8, integrated with control strategy from Week 10.</w:t>
      </w:r>
    </w:p>
    <w:p>
      <w:pPr>
        <w:spacing w:after="40"/>
      </w:pPr>
      <w:r>
        <w:rPr>
          <w:rFonts w:ascii="Open Sans" w:hAnsi="Open Sans" w:cs="Open Sans"/>
          <w:b/>
          <w:i w:val="0"/>
          <w:color w:val="065C50"/>
          <w:sz w:val="22"/>
        </w:rPr>
        <w:t>5. Population &amp; sampling</w:t>
      </w:r>
    </w:p>
    <w:p>
      <w:pPr>
        <w:spacing w:after="120"/>
      </w:pPr>
      <w:r>
        <w:rPr>
          <w:rFonts w:ascii="Open Sans" w:hAnsi="Open Sans" w:cs="Open Sans"/>
          <w:b w:val="0"/>
          <w:i w:val="0"/>
          <w:sz w:val="21"/>
        </w:rPr>
        <w:t>From Week 3.</w:t>
      </w:r>
    </w:p>
    <w:p>
      <w:pPr>
        <w:spacing w:after="40"/>
      </w:pPr>
      <w:r>
        <w:rPr>
          <w:rFonts w:ascii="Open Sans" w:hAnsi="Open Sans" w:cs="Open Sans"/>
          <w:b/>
          <w:i w:val="0"/>
          <w:color w:val="065C50"/>
          <w:sz w:val="22"/>
        </w:rPr>
        <w:t>6. Instrument(s) &amp; measurement</w:t>
      </w:r>
    </w:p>
    <w:p>
      <w:pPr>
        <w:spacing w:after="120"/>
      </w:pPr>
      <w:r>
        <w:rPr>
          <w:rFonts w:ascii="Open Sans" w:hAnsi="Open Sans" w:cs="Open Sans"/>
          <w:b w:val="0"/>
          <w:i w:val="0"/>
          <w:sz w:val="21"/>
        </w:rPr>
        <w:t>Questionnaire (Week 4), outcome definition (Week 5), screening/classification (Week 6).</w:t>
      </w:r>
    </w:p>
    <w:p>
      <w:pPr>
        <w:spacing w:after="40"/>
      </w:pPr>
      <w:r>
        <w:rPr>
          <w:rFonts w:ascii="Open Sans" w:hAnsi="Open Sans" w:cs="Open Sans"/>
          <w:b/>
          <w:i w:val="0"/>
          <w:color w:val="065C50"/>
          <w:sz w:val="22"/>
        </w:rPr>
        <w:t>7. Recruitment &amp; retention plan</w:t>
      </w:r>
    </w:p>
    <w:p>
      <w:pPr>
        <w:spacing w:after="120"/>
      </w:pPr>
      <w:r>
        <w:rPr>
          <w:rFonts w:ascii="Open Sans" w:hAnsi="Open Sans" w:cs="Open Sans"/>
          <w:b w:val="0"/>
          <w:i w:val="0"/>
          <w:sz w:val="21"/>
        </w:rPr>
        <w:t>From Week 9.</w:t>
      </w:r>
    </w:p>
    <w:p>
      <w:pPr>
        <w:spacing w:after="40"/>
      </w:pPr>
      <w:r>
        <w:rPr>
          <w:rFonts w:ascii="Open Sans" w:hAnsi="Open Sans" w:cs="Open Sans"/>
          <w:b/>
          <w:i w:val="0"/>
          <w:color w:val="065C50"/>
          <w:sz w:val="22"/>
        </w:rPr>
        <w:t>8. Hypotheses, effect measures, pre-analysis plan</w:t>
      </w:r>
    </w:p>
    <w:p>
      <w:pPr>
        <w:spacing w:after="120"/>
      </w:pPr>
      <w:r>
        <w:rPr>
          <w:rFonts w:ascii="Open Sans" w:hAnsi="Open Sans" w:cs="Open Sans"/>
          <w:b w:val="0"/>
          <w:i w:val="0"/>
          <w:sz w:val="21"/>
        </w:rPr>
        <w:t>Weeks 7 and 12.</w:t>
      </w:r>
    </w:p>
    <w:p>
      <w:pPr>
        <w:spacing w:after="40"/>
      </w:pPr>
      <w:r>
        <w:rPr>
          <w:rFonts w:ascii="Open Sans" w:hAnsi="Open Sans" w:cs="Open Sans"/>
          <w:b/>
          <w:i w:val="0"/>
          <w:color w:val="065C50"/>
          <w:sz w:val="22"/>
        </w:rPr>
        <w:t>9. Validity, bias, and confounding strategy</w:t>
      </w:r>
    </w:p>
    <w:p>
      <w:pPr>
        <w:spacing w:after="120"/>
      </w:pPr>
      <w:r>
        <w:rPr>
          <w:rFonts w:ascii="Open Sans" w:hAnsi="Open Sans" w:cs="Open Sans"/>
          <w:b w:val="0"/>
          <w:i w:val="0"/>
          <w:sz w:val="21"/>
        </w:rPr>
        <w:t>Weeks 10–12 integrated.</w:t>
      </w:r>
    </w:p>
    <w:p>
      <w:pPr>
        <w:spacing w:after="40"/>
      </w:pPr>
      <w:r>
        <w:rPr>
          <w:rFonts w:ascii="Open Sans" w:hAnsi="Open Sans" w:cs="Open Sans"/>
          <w:b/>
          <w:i w:val="0"/>
          <w:color w:val="065C50"/>
          <w:sz w:val="22"/>
        </w:rPr>
        <w:t>10. Ethical considerations</w:t>
      </w:r>
    </w:p>
    <w:p>
      <w:pPr>
        <w:spacing w:after="120"/>
      </w:pPr>
      <w:r>
        <w:rPr>
          <w:rFonts w:ascii="Open Sans" w:hAnsi="Open Sans" w:cs="Open Sans"/>
          <w:b w:val="0"/>
          <w:i w:val="0"/>
          <w:sz w:val="21"/>
        </w:rPr>
        <w:t>Risks, benefits, vulnerable populations, equity considerations.</w:t>
      </w:r>
    </w:p>
    <w:p>
      <w:pPr>
        <w:spacing w:after="40"/>
      </w:pPr>
      <w:r>
        <w:rPr>
          <w:rFonts w:ascii="Open Sans" w:hAnsi="Open Sans" w:cs="Open Sans"/>
          <w:b/>
          <w:i w:val="0"/>
          <w:color w:val="065C50"/>
          <w:sz w:val="22"/>
        </w:rPr>
        <w:t>11. Data security &amp; retention</w:t>
      </w:r>
    </w:p>
    <w:p>
      <w:pPr>
        <w:spacing w:after="120"/>
      </w:pPr>
      <w:r>
        <w:rPr>
          <w:rFonts w:ascii="Open Sans" w:hAnsi="Open Sans" w:cs="Open Sans"/>
          <w:b w:val="0"/>
          <w:i w:val="0"/>
          <w:sz w:val="21"/>
        </w:rPr>
        <w:t>How identifiable data will be stored, accessed, and destroyed.</w:t>
      </w:r>
    </w:p>
    <w:p>
      <w:pPr>
        <w:spacing w:after="40"/>
      </w:pPr>
      <w:r>
        <w:rPr>
          <w:rFonts w:ascii="Open Sans" w:hAnsi="Open Sans" w:cs="Open Sans"/>
          <w:b/>
          <w:i w:val="0"/>
          <w:color w:val="065C50"/>
          <w:sz w:val="22"/>
        </w:rPr>
        <w:t>12. Knowledge translation plan</w:t>
      </w:r>
    </w:p>
    <w:p>
      <w:pPr>
        <w:spacing w:after="120"/>
      </w:pPr>
      <w:r>
        <w:rPr>
          <w:rFonts w:ascii="Open Sans" w:hAnsi="Open Sans" w:cs="Open Sans"/>
          <w:b w:val="0"/>
          <w:i w:val="0"/>
          <w:sz w:val="21"/>
        </w:rPr>
        <w:t>How findings will be disseminated to participants and communities.</w:t>
      </w:r>
    </w:p>
    <w:p>
      <w:pPr>
        <w:spacing w:after="40"/>
      </w:pPr>
      <w:r>
        <w:rPr>
          <w:rFonts w:ascii="Open Sans" w:hAnsi="Open Sans" w:cs="Open Sans"/>
          <w:b/>
          <w:i w:val="0"/>
          <w:color w:val="065C50"/>
          <w:sz w:val="22"/>
        </w:rPr>
        <w:t>Appendix A — Mock REB application package</w:t>
      </w:r>
    </w:p>
    <w:p>
      <w:pPr>
        <w:spacing w:after="120"/>
      </w:pPr>
      <w:r>
        <w:rPr>
          <w:rFonts w:ascii="Open Sans" w:hAnsi="Open Sans" w:cs="Open Sans"/>
          <w:b w:val="0"/>
          <w:i w:val="0"/>
          <w:sz w:val="21"/>
        </w:rPr>
        <w:t>TCPS 2-style consent form, recruitment poster, COI disclosure, cover letter to REB chair.</w:t>
      </w:r>
    </w:p>
    <w:p>
      <w:pPr>
        <w:spacing w:after="40"/>
      </w:pPr>
      <w:r>
        <w:rPr>
          <w:rFonts w:ascii="Open Sans" w:hAnsi="Open Sans" w:cs="Open Sans"/>
          <w:b/>
          <w:i w:val="0"/>
          <w:color w:val="065C50"/>
          <w:sz w:val="22"/>
        </w:rPr>
        <w:t>Appendix B — Mini-review (Week 11)</w:t>
      </w:r>
    </w:p>
    <w:p>
      <w:pPr>
        <w:spacing w:before="200" w:after="80"/>
        <w:outlineLvl w:val="1"/>
      </w:pPr>
      <w:r>
        <w:rPr>
          <w:rFonts w:ascii="Open Sans" w:hAnsi="Open Sans" w:cs="Open Sans"/>
          <w:b/>
          <w:color w:val="065C50"/>
          <w:sz w:val="26"/>
        </w:rPr>
        <w:t>Submission checklist</w:t>
      </w:r>
    </w:p>
    <w:p>
      <w:pPr>
        <w:pStyle w:val="ListBullet"/>
        <w:spacing w:after="40"/>
      </w:pPr>
      <w:r>
        <w:rPr>
          <w:rFonts w:ascii="Open Sans" w:hAnsi="Open Sans" w:cs="Open Sans"/>
          <w:sz w:val="21"/>
        </w:rPr>
        <w:t>All 12 weekly milestones integrated (not stapled).</w:t>
      </w:r>
    </w:p>
    <w:p>
      <w:pPr>
        <w:pStyle w:val="ListBullet"/>
        <w:spacing w:after="40"/>
      </w:pPr>
      <w:r>
        <w:rPr>
          <w:rFonts w:ascii="Open Sans" w:hAnsi="Open Sans" w:cs="Open Sans"/>
          <w:sz w:val="21"/>
        </w:rPr>
        <w:t>References in a consistent style (APA-7, AMA, or Vancouver — pick one).</w:t>
      </w:r>
    </w:p>
    <w:p>
      <w:pPr>
        <w:pStyle w:val="ListBullet"/>
        <w:spacing w:after="40"/>
      </w:pPr>
      <w:r>
        <w:rPr>
          <w:rFonts w:ascii="Open Sans" w:hAnsi="Open Sans" w:cs="Open Sans"/>
          <w:sz w:val="21"/>
        </w:rPr>
        <w:t>Page count: see master brief.</w:t>
      </w:r>
    </w:p>
    <w:p>
      <w:pPr>
        <w:pStyle w:val="ListBullet"/>
        <w:spacing w:after="40"/>
      </w:pPr>
      <w:r>
        <w:rPr>
          <w:rFonts w:ascii="Open Sans" w:hAnsi="Open Sans" w:cs="Open Sans"/>
          <w:sz w:val="21"/>
        </w:rPr>
        <w:t>AI-tool disclosure on cover page.</w:t>
      </w:r>
    </w:p>
    <w:p>
      <w:pPr>
        <w:pStyle w:val="ListBullet"/>
        <w:spacing w:after="40"/>
      </w:pPr>
      <w:r>
        <w:rPr>
          <w:rFonts w:ascii="Open Sans" w:hAnsi="Open Sans" w:cs="Open Sans"/>
          <w:sz w:val="21"/>
        </w:rPr>
        <w:t>Peer-review partner identified.</w:t>
      </w:r>
    </w:p>
    <w:p>
      <w:pPr>
        <w:spacing w:before="320" w:after="120"/>
        <w:outlineLvl w:val="0"/>
      </w:pPr>
      <w:r>
        <w:rPr>
          <w:rFonts w:ascii="Open Sans" w:hAnsi="Open Sans" w:cs="Open Sans"/>
          <w:b/>
          <w:color w:val="065C50"/>
          <w:sz w:val="36"/>
        </w:rPr>
        <w:t>PART 4 — Final deliverable rubric</w:t>
      </w:r>
    </w:p>
    <w:p>
      <w:pPr>
        <w:spacing w:after="120"/>
      </w:pPr>
      <w:r>
        <w:rPr>
          <w:rFonts w:ascii="Open Sans" w:hAnsi="Open Sans" w:cs="Open Sans"/>
          <w:b w:val="0"/>
          <w:i/>
          <w:color w:val="555555"/>
          <w:sz w:val="21"/>
        </w:rPr>
        <w:t>The final integrated deliverable is worth 25% of the course grade. It is marked out of 25 using the criteria below. Peer review of one classmate's deliverable adds a further 5%.</w:t>
      </w:r>
    </w:p>
    <w:tbl>
      <w:tblPr>
        <w:tblW w:type="auto" w:w="0"/>
        <w:tblLayout w:type="fixed"/>
        <w:tblLook w:firstColumn="1" w:firstRow="1" w:lastColumn="0" w:lastRow="0" w:noHBand="0" w:noVBand="1" w:val="04A0"/>
        <w:tblBorders>
          <w:top w:val="single" w:sz="4" w:color="D6DCDB"/>
          <w:left w:val="single" w:sz="4" w:color="D6DCDB"/>
          <w:bottom w:val="single" w:sz="4" w:color="D6DCDB"/>
          <w:right w:val="single" w:sz="4" w:color="D6DCDB"/>
          <w:insideH w:val="single" w:sz="4" w:color="D6DCDB"/>
          <w:insideV w:val="single" w:sz="4" w:color="D6DCDB"/>
        </w:tblBorders>
      </w:tblPr>
      <w:tblGrid>
        <w:gridCol w:w="3120"/>
        <w:gridCol w:w="3120"/>
        <w:gridCol w:w="3120"/>
      </w:tblGrid>
      <w:tr>
        <w:tc>
          <w:tcPr>
            <w:tcW w:type="dxa" w:w="2621"/>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Criterion</w:t>
            </w:r>
          </w:p>
        </w:tc>
        <w:tc>
          <w:tcPr>
            <w:tcW w:type="dxa" w:w="5616"/>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Descriptor</w:t>
            </w:r>
          </w:p>
        </w:tc>
        <w:tc>
          <w:tcPr>
            <w:tcW w:type="dxa" w:w="1123"/>
            <w:vAlign w:val="center"/>
            <w:shd w:val="clear" w:color="auto" w:fill="0B7B6B"/>
            <w:tcMar>
              <w:top w:w="80" w:type="dxa"/>
              <w:bottom w:w="80" w:type="dxa"/>
              <w:left w:w="120" w:type="dxa"/>
              <w:right w:w="120" w:type="dxa"/>
            </w:tcMar>
          </w:tcPr>
          <w:p>
            <w:pPr>
              <w:spacing w:after="0"/>
            </w:pPr>
            <w:r/>
            <w:r>
              <w:rPr>
                <w:rFonts w:ascii="Open Sans" w:hAnsi="Open Sans" w:cs="Open Sans"/>
                <w:b/>
                <w:color w:val="FFFFFF"/>
                <w:sz w:val="20"/>
              </w:rPr>
              <w:t>Marks</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Integration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All twelve weekly milestones are integrated into a coherent whole — not stapled. Connections between sections are explicit; the reader can follow the analytic arc from question to conclusion.</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Methodological rigour</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Choices about design, measurement, analysis, or interpretation are justified against alternatives. Threats to validity are named and addressed; uncertainty is calibrated.</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6</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Evidence &amp; sourcing</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Claims are anchored in real, named sources. Citation style is consistent (APA-7 / AMA / Vancouver). Where data are used, provenance and access are documented.</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5</w:t>
            </w:r>
          </w:p>
        </w:tc>
      </w:tr>
      <w:tr>
        <w:tc>
          <w:tcPr>
            <w:tcW w:type="dxa" w:w="2621"/>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Reproducibility &amp; transparency</w:t>
            </w:r>
          </w:p>
        </w:tc>
        <w:tc>
          <w:tcPr>
            <w:tcW w:type="dxa" w:w="5616"/>
            <w:vAlign w:val="center"/>
            <w:shd w:val="clear" w:color="auto" w:fill="F7F9F9"/>
            <w:tcMar>
              <w:top w:w="80" w:type="dxa"/>
              <w:bottom w:w="80" w:type="dxa"/>
              <w:left w:w="120" w:type="dxa"/>
              <w:right w:w="120" w:type="dxa"/>
            </w:tcMar>
          </w:tcPr>
          <w:p>
            <w:pPr>
              <w:spacing w:after="0"/>
            </w:pPr>
            <w:r/>
            <w:r>
              <w:rPr>
                <w:rFonts w:ascii="Open Sans" w:hAnsi="Open Sans" w:cs="Open Sans"/>
                <w:color w:val="042A25"/>
                <w:sz w:val="19"/>
              </w:rPr>
              <w:t>A second reader could reproduce the search, the analysis, or the appraisal from what is documented. Methods, materials, and decisions are visible.</w:t>
            </w:r>
          </w:p>
        </w:tc>
        <w:tc>
          <w:tcPr>
            <w:tcW w:type="dxa" w:w="1123"/>
            <w:vAlign w:val="center"/>
            <w:shd w:val="clear" w:color="auto" w:fill="F7F9F9"/>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tcMar>
              <w:top w:w="80" w:type="dxa"/>
              <w:bottom w:w="80" w:type="dxa"/>
              <w:left w:w="120" w:type="dxa"/>
              <w:right w:w="120" w:type="dxa"/>
            </w:tcMar>
          </w:tcPr>
          <w:p>
            <w:pPr>
              <w:spacing w:after="0"/>
            </w:pPr>
            <w:r/>
            <w:r>
              <w:rPr>
                <w:rFonts w:ascii="Open Sans" w:hAnsi="Open Sans" w:cs="Open Sans"/>
                <w:color w:val="042A25"/>
                <w:sz w:val="19"/>
              </w:rPr>
              <w:t>Communication &amp; calibration</w:t>
            </w:r>
          </w:p>
        </w:tc>
        <w:tc>
          <w:tcPr>
            <w:tcW w:type="dxa" w:w="5616"/>
            <w:vAlign w:val="center"/>
            <w:tcMar>
              <w:top w:w="80" w:type="dxa"/>
              <w:bottom w:w="80" w:type="dxa"/>
              <w:left w:w="120" w:type="dxa"/>
              <w:right w:w="120" w:type="dxa"/>
            </w:tcMar>
          </w:tcPr>
          <w:p>
            <w:pPr>
              <w:spacing w:after="0"/>
            </w:pPr>
            <w:r/>
            <w:r>
              <w:rPr>
                <w:rFonts w:ascii="Open Sans" w:hAnsi="Open Sans" w:cs="Open Sans"/>
                <w:color w:val="042A25"/>
                <w:sz w:val="19"/>
              </w:rPr>
              <w:t>Writing is clear, audience-appropriate, and free of jargon overuse. Conclusions are calibrated to the strength of evidence — neither overclaiming nor under-selling.</w:t>
            </w:r>
          </w:p>
        </w:tc>
        <w:tc>
          <w:tcPr>
            <w:tcW w:type="dxa" w:w="1123"/>
            <w:vAlign w:val="center"/>
            <w:tcMar>
              <w:top w:w="80" w:type="dxa"/>
              <w:bottom w:w="80" w:type="dxa"/>
              <w:left w:w="120" w:type="dxa"/>
              <w:right w:w="120" w:type="dxa"/>
            </w:tcMar>
          </w:tcPr>
          <w:p>
            <w:pPr>
              <w:spacing w:after="0"/>
              <w:jc w:val="center"/>
            </w:pPr>
            <w:r/>
            <w:r>
              <w:rPr>
                <w:rFonts w:ascii="Open Sans" w:hAnsi="Open Sans" w:cs="Open Sans"/>
                <w:color w:val="042A25"/>
                <w:sz w:val="19"/>
              </w:rPr>
              <w:t>/ 4</w:t>
            </w:r>
          </w:p>
        </w:tc>
      </w:tr>
      <w:tr>
        <w:tc>
          <w:tcPr>
            <w:tcW w:type="dxa" w:w="2621"/>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TOTAL</w:t>
            </w:r>
          </w:p>
        </w:tc>
        <w:tc>
          <w:tcPr>
            <w:tcW w:type="dxa" w:w="5616"/>
            <w:vAlign w:val="center"/>
            <w:shd w:val="clear" w:color="auto" w:fill="E8F0EE"/>
            <w:tcMar>
              <w:top w:w="80" w:type="dxa"/>
              <w:bottom w:w="80" w:type="dxa"/>
              <w:left w:w="120" w:type="dxa"/>
              <w:right w:w="120" w:type="dxa"/>
            </w:tcMar>
          </w:tcPr>
          <w:p>
            <w:pPr>
              <w:spacing w:after="0"/>
            </w:pPr>
            <w:r/>
            <w:r>
              <w:rPr>
                <w:rFonts w:ascii="Open Sans" w:hAnsi="Open Sans" w:cs="Open Sans"/>
                <w:b/>
                <w:color w:val="042A25"/>
                <w:sz w:val="20"/>
              </w:rPr>
              <w:t>Final integrated deliverable</w:t>
            </w:r>
          </w:p>
        </w:tc>
        <w:tc>
          <w:tcPr>
            <w:tcW w:type="dxa" w:w="1123"/>
            <w:vAlign w:val="center"/>
            <w:shd w:val="clear" w:color="auto" w:fill="E8F0EE"/>
            <w:tcMar>
              <w:top w:w="80" w:type="dxa"/>
              <w:bottom w:w="80" w:type="dxa"/>
              <w:left w:w="120" w:type="dxa"/>
              <w:right w:w="120" w:type="dxa"/>
            </w:tcMar>
          </w:tcPr>
          <w:p>
            <w:pPr>
              <w:spacing w:after="0"/>
              <w:jc w:val="center"/>
            </w:pPr>
            <w:r/>
            <w:r>
              <w:rPr>
                <w:rFonts w:ascii="Open Sans" w:hAnsi="Open Sans" w:cs="Open Sans"/>
                <w:b/>
                <w:color w:val="042A25"/>
                <w:sz w:val="20"/>
              </w:rPr>
              <w:t>/ 25</w:t>
            </w:r>
          </w:p>
        </w:tc>
      </w:tr>
    </w:tbl>
    <w:p>
      <w:pPr>
        <w:spacing w:after="40"/>
      </w:pPr>
      <w:r>
        <w:rPr>
          <w:rFonts w:ascii="Open Sans" w:hAnsi="Open Sans" w:cs="Open Sans"/>
          <w:b/>
          <w:i w:val="0"/>
          <w:color w:val="042A25"/>
          <w:sz w:val="22"/>
        </w:rPr>
        <w:t>Peer review (5%)</w:t>
      </w:r>
    </w:p>
    <w:p>
      <w:pPr>
        <w:spacing w:after="120"/>
      </w:pPr>
      <w:r>
        <w:rPr>
          <w:rFonts w:ascii="Open Sans" w:hAnsi="Open Sans" w:cs="Open Sans"/>
          <w:b w:val="0"/>
          <w:i w:val="0"/>
          <w:sz w:val="21"/>
        </w:rPr>
        <w:t>Marked on the quality of the review you provide, not the score you give. Use the peer-review template provided. Constructive, specific, and actionable feedback earns full marks.</w:t>
      </w:r>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Open Sans" w:hAnsi="Open San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