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Open Sans" w:hAnsi="Open Sans" w:cs="Open Sans"/>
          <w:b/>
          <w:color w:val="999999"/>
          <w:sz w:val="16"/>
          <w:spacing w:val="60"/>
        </w:rPr>
        <w:t>SFU · FACULTY OF HEALTH SCIENCES · CAPSTONE</w:t>
      </w:r>
    </w:p>
    <w:p>
      <w:pPr>
        <w:spacing w:after="80"/>
      </w:pPr>
      <w:r>
        <w:rPr>
          <w:rFonts w:ascii="Open Sans" w:hAnsi="Open Sans" w:cs="Open Sans"/>
          <w:b/>
          <w:i w:val="0"/>
          <w:color w:val="065C50"/>
          <w:sz w:val="22"/>
        </w:rPr>
        <w:t>HSCI 130 — Foundations of Health Science</w:t>
      </w:r>
    </w:p>
    <w:p>
      <w:pPr>
        <w:spacing w:after="80"/>
      </w:pPr>
      <w:r>
        <w:rPr>
          <w:rFonts w:ascii="Open Sans" w:hAnsi="Open Sans" w:cs="Open Sans"/>
          <w:b/>
          <w:color w:val="042A25"/>
          <w:sz w:val="48"/>
        </w:rPr>
        <w:t>HSCI 130 — Foundations of Health Science</w:t>
      </w:r>
    </w:p>
    <w:p>
      <w:pPr>
        <w:spacing w:after="80"/>
      </w:pPr>
      <w:r>
        <w:rPr>
          <w:rFonts w:ascii="Open Sans" w:hAnsi="Open Sans" w:cs="Open Sans"/>
          <w:i/>
          <w:color w:val="555555"/>
          <w:sz w:val="18"/>
        </w:rPr>
        <w:t>A multi-determinant biography of one public-health topic, built one lens at a time</w:t>
      </w:r>
    </w:p>
    <w:p>
      <w:pPr>
        <w:pBdr>
          <w:bottom w:val="single" w:sz="8" w:space="1" w:color="0B7B6B"/>
        </w:pBdr>
        <w:spacing w:after="120"/>
      </w:pPr>
    </w:p>
    <w:p>
      <w:pPr>
        <w:spacing w:after="200"/>
      </w:pPr>
      <w:r>
        <w:rPr>
          <w:rFonts w:ascii="Open Sans" w:hAnsi="Open Sans" w:cs="Open Sans"/>
          <w:b w:val="0"/>
          <w:i/>
          <w:color w:val="555555"/>
          <w:sz w:val="20"/>
        </w:rPr>
        <w:t>This is the single source of truth for the term capstone. It contains the overview, all twelve weekly milestones (each with its brief and rubric), and the final integrated deliverable — template plus rubric. This document replaces the previous set of per-week documents.</w:t>
      </w:r>
    </w:p>
    <w:p>
      <w:pPr>
        <w:spacing w:before="320" w:after="120"/>
        <w:outlineLvl w:val="0"/>
      </w:pPr>
      <w:r>
        <w:rPr>
          <w:rFonts w:ascii="Open Sans" w:hAnsi="Open Sans" w:cs="Open Sans"/>
          <w:b/>
          <w:color w:val="065C50"/>
          <w:sz w:val="36"/>
        </w:rPr>
        <w:t>PART 1 — Capstone overview</w:t>
      </w:r>
    </w:p>
    <w:p>
      <w:pPr>
        <w:spacing w:before="200" w:after="80"/>
        <w:outlineLvl w:val="1"/>
      </w:pPr>
      <w:r>
        <w:rPr>
          <w:rFonts w:ascii="Open Sans" w:hAnsi="Open Sans" w:cs="Open Sans"/>
          <w:b/>
          <w:color w:val="065C50"/>
          <w:sz w:val="26"/>
        </w:rPr>
        <w:t>What you will produce</w:t>
      </w:r>
    </w:p>
    <w:p>
      <w:pPr>
        <w:spacing w:after="120"/>
      </w:pPr>
      <w:r>
        <w:rPr>
          <w:rFonts w:ascii="Open Sans" w:hAnsi="Open Sans" w:cs="Open Sans"/>
          <w:b w:val="0"/>
          <w:i w:val="0"/>
          <w:sz w:val="21"/>
        </w:rPr>
        <w:t>An 8–12 page integrated 'biography' of a single public-health topic of your choice, examining it through each of the 12 foundational lenses of the course (conceptual, historical-surveillance, infectious, lifestyle, sexual-and-reproductive, life-course, genetic, behavioural-and-mental-health, environmental, occupational, social-economic-political, and disability-diversity). The biography is paired with a 1-page plain-language op-ed that translates the integrated picture for a general audience.</w:t>
      </w:r>
    </w:p>
    <w:p>
      <w:pPr>
        <w:spacing w:before="200" w:after="80"/>
        <w:outlineLvl w:val="1"/>
      </w:pPr>
      <w:r>
        <w:rPr>
          <w:rFonts w:ascii="Open Sans" w:hAnsi="Open Sans" w:cs="Open Sans"/>
          <w:b/>
          <w:color w:val="065C50"/>
          <w:sz w:val="26"/>
        </w:rPr>
        <w:t>Learning outcomes</w:t>
      </w:r>
    </w:p>
    <w:p>
      <w:pPr>
        <w:pStyle w:val="ListBullet"/>
        <w:spacing w:after="40"/>
      </w:pPr>
      <w:r>
        <w:rPr>
          <w:rFonts w:ascii="Open Sans" w:hAnsi="Open Sans" w:cs="Open Sans"/>
          <w:sz w:val="21"/>
        </w:rPr>
        <w:t>Identify a public-health topic and articulate what kind of phenomenon it is (disease, behaviour, state, syndrome).</w:t>
      </w:r>
    </w:p>
    <w:p>
      <w:pPr>
        <w:pStyle w:val="ListBullet"/>
        <w:spacing w:after="40"/>
      </w:pPr>
      <w:r>
        <w:rPr>
          <w:rFonts w:ascii="Open Sans" w:hAnsi="Open Sans" w:cs="Open Sans"/>
          <w:sz w:val="21"/>
        </w:rPr>
        <w:t>Trace how the topic became a recognised public-health issue and how it is currently surveilled.</w:t>
      </w:r>
    </w:p>
    <w:p>
      <w:pPr>
        <w:pStyle w:val="ListBullet"/>
        <w:spacing w:after="40"/>
      </w:pPr>
      <w:r>
        <w:rPr>
          <w:rFonts w:ascii="Open Sans" w:hAnsi="Open Sans" w:cs="Open Sans"/>
          <w:sz w:val="21"/>
        </w:rPr>
        <w:t>Apply the major foundational lenses of public health to one topic without forcing fit.</w:t>
      </w:r>
    </w:p>
    <w:p>
      <w:pPr>
        <w:pStyle w:val="ListBullet"/>
        <w:spacing w:after="40"/>
      </w:pPr>
      <w:r>
        <w:rPr>
          <w:rFonts w:ascii="Open Sans" w:hAnsi="Open Sans" w:cs="Open Sans"/>
          <w:sz w:val="21"/>
        </w:rPr>
        <w:t>Distinguish proximal from distal determinants and biological from social pathways.</w:t>
      </w:r>
    </w:p>
    <w:p>
      <w:pPr>
        <w:pStyle w:val="ListBullet"/>
        <w:spacing w:after="40"/>
      </w:pPr>
      <w:r>
        <w:rPr>
          <w:rFonts w:ascii="Open Sans" w:hAnsi="Open Sans" w:cs="Open Sans"/>
          <w:sz w:val="21"/>
        </w:rPr>
        <w:t>Translate a multi-determinant picture into plain language for non-specialist audiences.</w:t>
      </w:r>
    </w:p>
    <w:p>
      <w:pPr>
        <w:spacing w:before="200" w:after="80"/>
        <w:outlineLvl w:val="1"/>
      </w:pPr>
      <w:r>
        <w:rPr>
          <w:rFonts w:ascii="Open Sans" w:hAnsi="Open Sans" w:cs="Open Sans"/>
          <w:b/>
          <w:color w:val="065C50"/>
          <w:sz w:val="26"/>
        </w:rPr>
        <w:t>How the capstone is built — week by week</w:t>
      </w:r>
    </w:p>
    <w:p>
      <w:pPr>
        <w:spacing w:after="120"/>
      </w:pPr>
      <w:r>
        <w:rPr>
          <w:rFonts w:ascii="Open Sans" w:hAnsi="Open Sans" w:cs="Open Sans"/>
          <w:b w:val="0"/>
          <w:i w:val="0"/>
          <w:sz w:val="21"/>
        </w:rPr>
        <w:t>Every week of class includes a piece of your capstone. The piece aligns with what you learned that week, so the project develops with the course rather than at the end of it. Each week's piece is small (1–2 hours of focused work) and graded for participation, alignment, and honesty about uncertainty.</w:t>
      </w:r>
    </w:p>
    <w:p>
      <w:pPr>
        <w:spacing w:before="200" w:after="80"/>
        <w:outlineLvl w:val="1"/>
      </w:pPr>
      <w:r>
        <w:rPr>
          <w:rFonts w:ascii="Open Sans" w:hAnsi="Open Sans" w:cs="Open Sans"/>
          <w:b/>
          <w:color w:val="065C50"/>
          <w:sz w:val="26"/>
        </w:rPr>
        <w:t>Weighting</w:t>
      </w:r>
    </w:p>
    <w:p>
      <w:pPr>
        <w:spacing w:after="120"/>
      </w:pPr>
      <w:r>
        <w:rPr>
          <w:rFonts w:ascii="Open Sans" w:hAnsi="Open Sans" w:cs="Open Sans"/>
          <w:b w:val="0"/>
          <w:i w:val="0"/>
          <w:sz w:val="21"/>
        </w:rPr>
        <w:t>Weekly milestones: 2.5% each (Weeks 1–12, 30% total). Final integrated biography + op-ed: 25%. Peer review of one classmate's biography: 5%. Total course weight: 60%.</w:t>
      </w:r>
    </w:p>
    <w:p>
      <w:pPr>
        <w:spacing w:before="200" w:after="80"/>
        <w:outlineLvl w:val="1"/>
      </w:pPr>
      <w:r>
        <w:rPr>
          <w:rFonts w:ascii="Open Sans" w:hAnsi="Open Sans" w:cs="Open Sans"/>
          <w:b/>
          <w:color w:val="065C50"/>
          <w:sz w:val="26"/>
        </w:rPr>
        <w:t>How weekly milestones are graded</w:t>
      </w:r>
    </w:p>
    <w:p>
      <w:pPr>
        <w:spacing w:after="120"/>
      </w:pPr>
      <w:r>
        <w:rPr>
          <w:rFonts w:ascii="Open Sans" w:hAnsi="Open Sans" w:cs="Open Sans"/>
          <w:b w:val="0"/>
          <w:i w:val="0"/>
          <w:sz w:val="21"/>
        </w:rPr>
        <w:t>Each milestone is marked out of 5.</w:t>
      </w:r>
    </w:p>
    <w:p>
      <w:pPr>
        <w:pStyle w:val="ListBullet"/>
        <w:spacing w:after="40"/>
      </w:pPr>
      <w:r>
        <w:rPr>
          <w:rFonts w:ascii="Open Sans" w:hAnsi="Open Sans" w:cs="Open Sans"/>
          <w:sz w:val="21"/>
        </w:rPr>
        <w:t>3 marks for completing the deliverable on time and applying that week's lecture content.</w:t>
      </w:r>
    </w:p>
    <w:p>
      <w:pPr>
        <w:pStyle w:val="ListBullet"/>
        <w:spacing w:after="40"/>
      </w:pPr>
      <w:r>
        <w:rPr>
          <w:rFonts w:ascii="Open Sans" w:hAnsi="Open Sans" w:cs="Open Sans"/>
          <w:sz w:val="21"/>
        </w:rPr>
        <w:t>1 mark for evidence/sourcing — claims grounded in real, named sources.</w:t>
      </w:r>
    </w:p>
    <w:p>
      <w:pPr>
        <w:pStyle w:val="ListBullet"/>
        <w:spacing w:after="40"/>
      </w:pPr>
      <w:r>
        <w:rPr>
          <w:rFonts w:ascii="Open Sans" w:hAnsi="Open Sans" w:cs="Open Sans"/>
          <w:sz w:val="21"/>
        </w:rPr>
        <w:t>1 mark for clarity and reproducibility — someone else could build on what you submitted.</w:t>
      </w:r>
    </w:p>
    <w:p>
      <w:pPr>
        <w:spacing w:after="120"/>
      </w:pPr>
      <w:r>
        <w:rPr>
          <w:rFonts w:ascii="Open Sans" w:hAnsi="Open Sans" w:cs="Open Sans"/>
          <w:b w:val="0"/>
          <w:i w:val="0"/>
          <w:sz w:val="21"/>
        </w:rPr>
        <w:t>Honest acknowledgment of uncertainty earns full credit. Overclaiming does not.</w:t>
      </w:r>
    </w:p>
    <w:p>
      <w:pPr>
        <w:spacing w:before="200" w:after="80"/>
        <w:outlineLvl w:val="1"/>
      </w:pPr>
      <w:r>
        <w:rPr>
          <w:rFonts w:ascii="Open Sans" w:hAnsi="Open Sans" w:cs="Open Sans"/>
          <w:b/>
          <w:color w:val="065C50"/>
          <w:sz w:val="26"/>
        </w:rPr>
        <w:t>Working with classmates and AI tools</w:t>
      </w:r>
    </w:p>
    <w:p>
      <w:pPr>
        <w:spacing w:after="120"/>
      </w:pPr>
      <w:r>
        <w:rPr>
          <w:rFonts w:ascii="Open Sans" w:hAnsi="Open Sans" w:cs="Open Sans"/>
          <w:b w:val="0"/>
          <w:i w:val="0"/>
          <w:sz w:val="21"/>
        </w:rPr>
        <w:t>Discussing your capstone with classmates is encouraged. The week's milestone must be your own work, in your own words. AI tools (e.g., ChatGPT, Claude) may be used for editing and brainstorming — disclose any AI assistance in a 1-line statement at the bottom of each weekly milestone (e.g., "Used Claude to refine wording on paragraph 2; reviewed and revised all suggestions."). Do not paste AI-generated text without verification or disclosure.</w:t>
      </w:r>
    </w:p>
    <w:p>
      <w:pPr>
        <w:spacing w:before="200" w:after="80"/>
        <w:outlineLvl w:val="1"/>
      </w:pPr>
      <w:r>
        <w:rPr>
          <w:rFonts w:ascii="Open Sans" w:hAnsi="Open Sans" w:cs="Open Sans"/>
          <w:b/>
          <w:color w:val="065C50"/>
          <w:sz w:val="26"/>
        </w:rPr>
        <w:t>Late policy</w:t>
      </w:r>
    </w:p>
    <w:p>
      <w:pPr>
        <w:spacing w:after="120"/>
      </w:pPr>
      <w:r>
        <w:rPr>
          <w:rFonts w:ascii="Open Sans" w:hAnsi="Open Sans" w:cs="Open Sans"/>
          <w:b w:val="0"/>
          <w:i w:val="0"/>
          <w:sz w:val="21"/>
        </w:rPr>
        <w:t>Each milestone is due before the next class. One late milestone per term may be submitted within 7 days for full credit, no questions asked — just email the instructor before the deadline. Beyond that, late milestones lose 20% per day.</w:t>
      </w:r>
    </w:p>
    <w:p>
      <w:pPr>
        <w:spacing w:before="200" w:after="80"/>
        <w:outlineLvl w:val="1"/>
      </w:pPr>
      <w:r>
        <w:rPr>
          <w:rFonts w:ascii="Open Sans" w:hAnsi="Open Sans" w:cs="Open Sans"/>
          <w:b/>
          <w:color w:val="065C50"/>
          <w:sz w:val="26"/>
        </w:rPr>
        <w:t>Peer review</w:t>
      </w:r>
    </w:p>
    <w:p>
      <w:pPr>
        <w:spacing w:after="120"/>
      </w:pPr>
      <w:r>
        <w:rPr>
          <w:rFonts w:ascii="Open Sans" w:hAnsi="Open Sans" w:cs="Open Sans"/>
          <w:b w:val="0"/>
          <w:i w:val="0"/>
          <w:sz w:val="21"/>
        </w:rPr>
        <w:t>In Week 13 you will exchange your final deliverable with one classmate and complete a structured peer review (template provided). Peer review is worth 5% of the course grade and is graded on the quality of the review you provide, not the score you give.</w:t>
      </w:r>
    </w:p>
    <w:p>
      <w:r>
        <w:br w:type="page"/>
      </w:r>
    </w:p>
    <w:p>
      <w:pPr>
        <w:spacing w:before="320" w:after="120"/>
        <w:outlineLvl w:val="0"/>
      </w:pPr>
      <w:r>
        <w:rPr>
          <w:rFonts w:ascii="Open Sans" w:hAnsi="Open Sans" w:cs="Open Sans"/>
          <w:b/>
          <w:color w:val="065C50"/>
          <w:sz w:val="36"/>
        </w:rPr>
        <w:t>PART 2 — Weekly milestones</w:t>
      </w:r>
    </w:p>
    <w:p>
      <w:pPr>
        <w:spacing w:after="120"/>
      </w:pPr>
      <w:r>
        <w:rPr>
          <w:rFonts w:ascii="Open Sans" w:hAnsi="Open Sans" w:cs="Open Sans"/>
          <w:b w:val="0"/>
          <w:i/>
          <w:color w:val="555555"/>
          <w:sz w:val="21"/>
        </w:rPr>
        <w:t>Each weekly milestone aligns with that week's lecture content. The brief tells you what to submit; the rubric tells you how it will be marked. Every milestone is worth 2.5% of the course grade.</w:t>
      </w:r>
    </w:p>
    <w:p>
      <w:pPr>
        <w:spacing w:after="40"/>
      </w:pPr>
      <w:r>
        <w:rPr>
          <w:rFonts w:ascii="Open Sans" w:hAnsi="Open Sans" w:cs="Open Sans"/>
          <w:b/>
          <w:color w:val="999999"/>
          <w:sz w:val="16"/>
          <w:spacing w:val="60"/>
        </w:rPr>
        <w:t>WEEK 01</w:t>
      </w:r>
    </w:p>
    <w:p>
      <w:pPr>
        <w:spacing w:after="40"/>
      </w:pPr>
      <w:r>
        <w:rPr>
          <w:rFonts w:ascii="Open Sans" w:hAnsi="Open Sans" w:cs="Open Sans"/>
          <w:b/>
          <w:color w:val="065C50"/>
          <w:sz w:val="32"/>
        </w:rPr>
        <w:t>Topic Lock + Definitions Memo</w:t>
      </w:r>
    </w:p>
    <w:p>
      <w:pPr>
        <w:spacing w:after="80"/>
      </w:pPr>
      <w:r>
        <w:rPr>
          <w:rFonts w:ascii="Open Sans" w:hAnsi="Open Sans" w:cs="Open Sans"/>
          <w:i/>
          <w:color w:val="555555"/>
          <w:sz w:val="18"/>
        </w:rPr>
        <w:t>Lesson 1 — Conceptualizing Health, Illness, and Disease</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Pick the public-health topic you will follow for the term and write a definitions memo that articulates what kind of phenomenon it is.</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A single locked-in topic for the term (e.g., type 2 diabetes, suicide, asthma, lead poisoning, traffic injuries, intimate-partner violence, alcohol-related liver disease).</w:t>
      </w:r>
    </w:p>
    <w:p>
      <w:pPr>
        <w:pStyle w:val="ListBullet"/>
        <w:spacing w:after="40"/>
      </w:pPr>
      <w:r>
        <w:rPr>
          <w:rFonts w:ascii="Open Sans" w:hAnsi="Open Sans" w:cs="Open Sans"/>
          <w:sz w:val="21"/>
        </w:rPr>
        <w:t>A 1-paragraph definitions memo: how is your topic defined as a disease, as a state, as a behaviour, or as a syndrome — and by whom (clinical, public-health, lived-experience)?</w:t>
      </w:r>
    </w:p>
    <w:p>
      <w:pPr>
        <w:pStyle w:val="ListBullet"/>
        <w:spacing w:after="40"/>
      </w:pPr>
      <w:r>
        <w:rPr>
          <w:rFonts w:ascii="Open Sans" w:hAnsi="Open Sans" w:cs="Open Sans"/>
          <w:sz w:val="21"/>
        </w:rPr>
        <w:t>Identify one definition that is contested and explain who contests it and why.</w:t>
      </w:r>
    </w:p>
    <w:p>
      <w:pPr>
        <w:pStyle w:val="ListBullet"/>
        <w:spacing w:after="40"/>
      </w:pPr>
      <w:r>
        <w:rPr>
          <w:rFonts w:ascii="Open Sans" w:hAnsi="Open Sans" w:cs="Open Sans"/>
          <w:sz w:val="21"/>
        </w:rPr>
        <w:t>Submit as a 1–2 page Word/PDF document.</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lesson made clear that health, illness, and disease are not interchangeable — definitions shape who counts, who is treated, and who pays. Your capstone begins with the definitional choices that will follow your topic the rest of the term.</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Brought to next class as your locked topic; we will hear several aloud.</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"Conceptualizing Health, Illness, and Disease"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Topic is focused, defensible, and answerable within the breadth of this course. Definitions distinguish disease, illness, and behaviour where relevant.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transcripts).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Topic Lock + Definitions Memo</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Topic is focused, defensible, and answerable within the breadth of this course.</w:t>
      </w:r>
    </w:p>
    <w:p>
      <w:pPr>
        <w:pStyle w:val="ListBullet"/>
        <w:spacing w:after="40"/>
      </w:pPr>
      <w:r>
        <w:rPr>
          <w:rFonts w:ascii="Open Sans" w:hAnsi="Open Sans" w:cs="Open Sans"/>
          <w:sz w:val="21"/>
        </w:rPr>
        <w:t>Definitions distinguish disease, illness, and behaviour where relevant.</w:t>
      </w:r>
    </w:p>
    <w:p>
      <w:pPr>
        <w:pStyle w:val="ListBullet"/>
        <w:spacing w:after="40"/>
      </w:pPr>
      <w:r>
        <w:rPr>
          <w:rFonts w:ascii="Open Sans" w:hAnsi="Open Sans" w:cs="Open Sans"/>
          <w:sz w:val="21"/>
        </w:rPr>
        <w:t>Contested-definition note is specific and names the contesters.</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Health Topic Biography. Students should refine and integrate this milestone in Week 12's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02</w:t>
      </w:r>
    </w:p>
    <w:p>
      <w:pPr>
        <w:spacing w:after="40"/>
      </w:pPr>
      <w:r>
        <w:rPr>
          <w:rFonts w:ascii="Open Sans" w:hAnsi="Open Sans" w:cs="Open Sans"/>
          <w:b/>
          <w:color w:val="065C50"/>
          <w:sz w:val="32"/>
        </w:rPr>
        <w:t>Public-Health History &amp; Surveillance Timeline</w:t>
      </w:r>
    </w:p>
    <w:p>
      <w:pPr>
        <w:spacing w:after="80"/>
      </w:pPr>
      <w:r>
        <w:rPr>
          <w:rFonts w:ascii="Open Sans" w:hAnsi="Open Sans" w:cs="Open Sans"/>
          <w:i/>
          <w:color w:val="555555"/>
          <w:sz w:val="18"/>
        </w:rPr>
        <w:t>Lesson 2 — Rise of Public Health and Modern Surveillance</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Build a one-page timeline showing when your topic became a recognised public-health issue and how it is currently surveilled.</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A timeline (visual or list) of 4–7 milestones in the history of your topic as a public-health concern (first description, first surveillance, key reports, policy responses).</w:t>
      </w:r>
    </w:p>
    <w:p>
      <w:pPr>
        <w:pStyle w:val="ListBullet"/>
        <w:spacing w:after="40"/>
      </w:pPr>
      <w:r>
        <w:rPr>
          <w:rFonts w:ascii="Open Sans" w:hAnsi="Open Sans" w:cs="Open Sans"/>
          <w:sz w:val="21"/>
        </w:rPr>
        <w:t>A named list of 2–3 surveillance systems that currently track your topic in Canada or BC (e.g., CCHS, Vital Statistics, BC Coroners' data, notifiable-disease lists, BC PHSA dashboards).</w:t>
      </w:r>
    </w:p>
    <w:p>
      <w:pPr>
        <w:pStyle w:val="ListBullet"/>
        <w:spacing w:after="40"/>
      </w:pPr>
      <w:r>
        <w:rPr>
          <w:rFonts w:ascii="Open Sans" w:hAnsi="Open Sans" w:cs="Open Sans"/>
          <w:sz w:val="21"/>
        </w:rPr>
        <w:t>For each surveillance system: data steward, refresh cadence, what it can and cannot tell you.</w:t>
      </w:r>
    </w:p>
    <w:p>
      <w:pPr>
        <w:pStyle w:val="ListBullet"/>
        <w:spacing w:after="40"/>
      </w:pPr>
      <w:r>
        <w:rPr>
          <w:rFonts w:ascii="Open Sans" w:hAnsi="Open Sans" w:cs="Open Sans"/>
          <w:sz w:val="21"/>
        </w:rPr>
        <w:t>GBD numbers for your topic: look up your topic in the GBD Compare tool (https://vizhub.healthdata.org/gbd-compare/) and report (a) global DALYs attributable to it in 2021, (b) the Canadian rank of your topic among all causes of DALYs (or among risk factors if your topic is a risk factor), and (c) one country where your topic ranks markedly higher than in Canada, with a one-sentence plausible reason.</w:t>
      </w:r>
    </w:p>
    <w:p>
      <w:pPr>
        <w:pStyle w:val="ListBullet"/>
        <w:spacing w:after="40"/>
      </w:pPr>
      <w:r>
        <w:rPr>
          <w:rFonts w:ascii="Open Sans" w:hAnsi="Open Sans" w:cs="Open Sans"/>
          <w:sz w:val="21"/>
        </w:rPr>
        <w:t>Submit as a 2-page document.</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lesson traced how public health emerged as a discipline by counting things. Your topic has a counting history too — make it visible.</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timeline to Week 3.</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"Rise of Public Health and Modern Surveillance"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Timeline shows real, dated milestones (not generic ones). Two to three surveillance systems are real and named with stewards. GBD numbers (global DALYs, Canadian rank, one comparator country) are reported with the correct year and a citable source link.</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transcripts).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Public-Health History &amp; Surveillance Timeline</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Timeline shows real, dated milestones (not generic ones).</w:t>
      </w:r>
    </w:p>
    <w:p>
      <w:pPr>
        <w:pStyle w:val="ListBullet"/>
        <w:spacing w:after="40"/>
      </w:pPr>
      <w:r>
        <w:rPr>
          <w:rFonts w:ascii="Open Sans" w:hAnsi="Open Sans" w:cs="Open Sans"/>
          <w:sz w:val="21"/>
        </w:rPr>
        <w:t>Three surveillance systems are real and named with stewards.</w:t>
      </w:r>
    </w:p>
    <w:p>
      <w:pPr>
        <w:pStyle w:val="ListBullet"/>
        <w:spacing w:after="40"/>
      </w:pPr>
      <w:r>
        <w:rPr>
          <w:rFonts w:ascii="Open Sans" w:hAnsi="Open Sans" w:cs="Open Sans"/>
          <w:sz w:val="21"/>
        </w:rPr>
        <w:t>Honest assessment of what each system can and cannot tell you.</w:t>
      </w:r>
    </w:p>
    <w:p>
      <w:pPr>
        <w:pStyle w:val="ListBullet"/>
        <w:spacing w:after="40"/>
      </w:pPr>
      <w:r>
        <w:rPr>
          <w:rFonts w:ascii="Open Sans" w:hAnsi="Open Sans" w:cs="Open Sans"/>
          <w:sz w:val="21"/>
        </w:rPr>
        <w:t>GBD numbers are reported correctly with year and source.</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Health Topic Biography. Students should refine and integrate this milestone in Week 12's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03</w:t>
      </w:r>
    </w:p>
    <w:p>
      <w:pPr>
        <w:spacing w:after="40"/>
      </w:pPr>
      <w:r>
        <w:rPr>
          <w:rFonts w:ascii="Open Sans" w:hAnsi="Open Sans" w:cs="Open Sans"/>
          <w:b/>
          <w:color w:val="065C50"/>
          <w:sz w:val="32"/>
        </w:rPr>
        <w:t>Infectious-Lens Audit</w:t>
      </w:r>
    </w:p>
    <w:p>
      <w:pPr>
        <w:spacing w:after="80"/>
      </w:pPr>
      <w:r>
        <w:rPr>
          <w:rFonts w:ascii="Open Sans" w:hAnsi="Open Sans" w:cs="Open Sans"/>
          <w:i/>
          <w:color w:val="555555"/>
          <w:sz w:val="18"/>
        </w:rPr>
        <w:t>Lesson 3 — Infectious Disease, Sanitation, and Hygiene</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Apply the infectious-disease, sanitation, and hygiene lens to your topic — even if the topic is non-communicable, ask what the lens contributes (or why it does not).</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A 1-page audit answering: does an infectious agent contribute to your topic? If yes, which one(s), with what evidence (HPV → cervical cancer; H. pylori → ulcers; gut microbiome → metabolic disease).</w:t>
      </w:r>
    </w:p>
    <w:p>
      <w:pPr>
        <w:pStyle w:val="ListBullet"/>
        <w:spacing w:after="40"/>
      </w:pPr>
      <w:r>
        <w:rPr>
          <w:rFonts w:ascii="Open Sans" w:hAnsi="Open Sans" w:cs="Open Sans"/>
          <w:sz w:val="21"/>
        </w:rPr>
        <w:t>If no infectious agent contributes, an honest paragraph on what sanitation/hygiene/infectious-control lenses still teach you about your topic (e.g., the institutional architecture of population control).</w:t>
      </w:r>
    </w:p>
    <w:p>
      <w:pPr>
        <w:pStyle w:val="ListBullet"/>
        <w:spacing w:after="40"/>
      </w:pPr>
      <w:r>
        <w:rPr>
          <w:rFonts w:ascii="Open Sans" w:hAnsi="Open Sans" w:cs="Open Sans"/>
          <w:sz w:val="21"/>
        </w:rPr>
        <w:t>One named historical example (e.g., Snow on cholera, Semmelweis on puerperal fever) and why it is or is not analogous to your topic.</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lesson showed that the founding methods of public health — surveillance, mapping, and control of communicable disease — still structure how we think about every health topic, including the non-communicable ones.</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audit to Week 4.</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"Infectious Disease, Sanitation, and Hygiene"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Infectious connection (or its absence) is argued with named evidence, not assumed. Historical analogy is specific and defended.</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transcripts).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Infectious-Lens Audit</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Infectious connection (or its absence) is argued with named evidence, not assumed.</w:t>
      </w:r>
    </w:p>
    <w:p>
      <w:pPr>
        <w:pStyle w:val="ListBullet"/>
        <w:spacing w:after="40"/>
      </w:pPr>
      <w:r>
        <w:rPr>
          <w:rFonts w:ascii="Open Sans" w:hAnsi="Open Sans" w:cs="Open Sans"/>
          <w:sz w:val="21"/>
        </w:rPr>
        <w:t>Historical analogy is specific and defended.</w:t>
      </w:r>
    </w:p>
    <w:p>
      <w:pPr>
        <w:pStyle w:val="ListBullet"/>
        <w:spacing w:after="40"/>
      </w:pPr>
      <w:r>
        <w:rPr>
          <w:rFonts w:ascii="Open Sans" w:hAnsi="Open Sans" w:cs="Open Sans"/>
          <w:sz w:val="21"/>
        </w:rPr>
        <w:t>Honest about what the lens cannot tell you.</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Health Topic Biography. Students should refine and integrate this milestone in Week 12's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04</w:t>
      </w:r>
    </w:p>
    <w:p>
      <w:pPr>
        <w:spacing w:after="40"/>
      </w:pPr>
      <w:r>
        <w:rPr>
          <w:rFonts w:ascii="Open Sans" w:hAnsi="Open Sans" w:cs="Open Sans"/>
          <w:b/>
          <w:color w:val="065C50"/>
          <w:sz w:val="32"/>
        </w:rPr>
        <w:t>Nutrition / Physical Activity / Sleep Pathways</w:t>
      </w:r>
    </w:p>
    <w:p>
      <w:pPr>
        <w:spacing w:after="80"/>
      </w:pPr>
      <w:r>
        <w:rPr>
          <w:rFonts w:ascii="Open Sans" w:hAnsi="Open Sans" w:cs="Open Sans"/>
          <w:i/>
          <w:color w:val="555555"/>
          <w:sz w:val="18"/>
        </w:rPr>
        <w:t>Lesson 4 — Nutrition, Physical Activity, and Sleep</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Audit the established and emerging connections between your topic and the three lifestyle pillars: nutrition, physical activity, and sleep.</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A 1-page table: rows = nutrition, physical activity, sleep; columns = established link, emerging link, no link / unclear.</w:t>
      </w:r>
    </w:p>
    <w:p>
      <w:pPr>
        <w:pStyle w:val="ListBullet"/>
        <w:spacing w:after="40"/>
      </w:pPr>
      <w:r>
        <w:rPr>
          <w:rFonts w:ascii="Open Sans" w:hAnsi="Open Sans" w:cs="Open Sans"/>
          <w:sz w:val="21"/>
        </w:rPr>
        <w:t>Each cell cites a named source (review article, guideline, surveillance brief) — not Wikipedia.</w:t>
      </w:r>
    </w:p>
    <w:p>
      <w:pPr>
        <w:pStyle w:val="ListBullet"/>
        <w:spacing w:after="40"/>
      </w:pPr>
      <w:r>
        <w:rPr>
          <w:rFonts w:ascii="Open Sans" w:hAnsi="Open Sans" w:cs="Open Sans"/>
          <w:sz w:val="21"/>
        </w:rPr>
        <w:t>A 1-paragraph note: which of the three is most consequential for your topic, and which is most overstated in popular media?</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lesson gave you the lifestyle-pillar framework. The popular framing tends to overstate one pillar and ignore the other two — your audit should be honest about where the evidence actually is.</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table to Week 5.</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"Nutrition, Physical Activity, and Sleep"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Three pillars treated separately with named sources for each. Distinguishes established evidence from emerging or contested claims.</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transcripts).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Nutrition / Physical Activity / Sleep Pathways</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Three pillars treated separately with named sources for each.</w:t>
      </w:r>
    </w:p>
    <w:p>
      <w:pPr>
        <w:pStyle w:val="ListBullet"/>
        <w:spacing w:after="40"/>
      </w:pPr>
      <w:r>
        <w:rPr>
          <w:rFonts w:ascii="Open Sans" w:hAnsi="Open Sans" w:cs="Open Sans"/>
          <w:sz w:val="21"/>
        </w:rPr>
        <w:t>Distinguishes established evidence from emerging or contested claims.</w:t>
      </w:r>
    </w:p>
    <w:p>
      <w:pPr>
        <w:pStyle w:val="ListBullet"/>
        <w:spacing w:after="40"/>
      </w:pPr>
      <w:r>
        <w:rPr>
          <w:rFonts w:ascii="Open Sans" w:hAnsi="Open Sans" w:cs="Open Sans"/>
          <w:sz w:val="21"/>
        </w:rPr>
        <w:t>Honest about overstatement in popular media on your topic.</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Health Topic Biography. Students should refine and integrate this milestone in Week 12's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05</w:t>
      </w:r>
    </w:p>
    <w:p>
      <w:pPr>
        <w:spacing w:after="40"/>
      </w:pPr>
      <w:r>
        <w:rPr>
          <w:rFonts w:ascii="Open Sans" w:hAnsi="Open Sans" w:cs="Open Sans"/>
          <w:b/>
          <w:color w:val="065C50"/>
          <w:sz w:val="32"/>
        </w:rPr>
        <w:t>Sexual &amp; Reproductive Health Dimensions</w:t>
      </w:r>
    </w:p>
    <w:p>
      <w:pPr>
        <w:spacing w:after="80"/>
      </w:pPr>
      <w:r>
        <w:rPr>
          <w:rFonts w:ascii="Open Sans" w:hAnsi="Open Sans" w:cs="Open Sans"/>
          <w:i/>
          <w:color w:val="555555"/>
          <w:sz w:val="18"/>
        </w:rPr>
        <w:t>Lesson 5 — Sexual and Reproductive Health</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Apply the sexual and reproductive health (SRH) lens to your topic — direct, indirect, or absent — and document what you find.</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A 1-page memo with three sub-sections: (a) direct SRH dimension (does your topic affect or interact with sexual / reproductive health?); (b) indirect dimension (does the topic differ by sex/gender, parity, life-stage transitions like pregnancy or menopause?); (c) absent dimension (is SRH non-central — if so, what's worth noting about that?).</w:t>
      </w:r>
    </w:p>
    <w:p>
      <w:pPr>
        <w:pStyle w:val="ListBullet"/>
        <w:spacing w:after="40"/>
      </w:pPr>
      <w:r>
        <w:rPr>
          <w:rFonts w:ascii="Open Sans" w:hAnsi="Open Sans" w:cs="Open Sans"/>
          <w:sz w:val="21"/>
        </w:rPr>
        <w:t>Cite at least 2 named sources (one peer-reviewed, one public-health-agency report).</w:t>
      </w:r>
    </w:p>
    <w:p>
      <w:pPr>
        <w:pStyle w:val="ListBullet"/>
        <w:spacing w:after="40"/>
      </w:pPr>
      <w:r>
        <w:rPr>
          <w:rFonts w:ascii="Open Sans" w:hAnsi="Open Sans" w:cs="Open Sans"/>
          <w:sz w:val="21"/>
        </w:rPr>
        <w:t>Identify one population subgroup whose SRH experience of your topic is least studied.</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lesson centred SRH as a foundation, not a niche. Even a topic that 'seems unrelated' typically differs by sex, gender, parity, or reproductive stage — this milestone forces that question explicitly.</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memo to Week 6.</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"Sexual and Reproductive Health"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All three sub-sections are addressed honestly (including 'absent' when appropriate). At least 2 named sources, one peer-reviewed.</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transcripts).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Sexual &amp; Reproductive Health Dimensions</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All three sub-sections are addressed honestly (including 'absent' when appropriate).</w:t>
      </w:r>
    </w:p>
    <w:p>
      <w:pPr>
        <w:pStyle w:val="ListBullet"/>
        <w:spacing w:after="40"/>
      </w:pPr>
      <w:r>
        <w:rPr>
          <w:rFonts w:ascii="Open Sans" w:hAnsi="Open Sans" w:cs="Open Sans"/>
          <w:sz w:val="21"/>
        </w:rPr>
        <w:t>At least 2 named sources, one peer-reviewed.</w:t>
      </w:r>
    </w:p>
    <w:p>
      <w:pPr>
        <w:pStyle w:val="ListBullet"/>
        <w:spacing w:after="40"/>
      </w:pPr>
      <w:r>
        <w:rPr>
          <w:rFonts w:ascii="Open Sans" w:hAnsi="Open Sans" w:cs="Open Sans"/>
          <w:sz w:val="21"/>
        </w:rPr>
        <w:t>Under-studied subgroup is specific and defensible.</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Health Topic Biography. Students should refine and integrate this milestone in Week 12's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06</w:t>
      </w:r>
    </w:p>
    <w:p>
      <w:pPr>
        <w:spacing w:after="40"/>
      </w:pPr>
      <w:r>
        <w:rPr>
          <w:rFonts w:ascii="Open Sans" w:hAnsi="Open Sans" w:cs="Open Sans"/>
          <w:b/>
          <w:color w:val="065C50"/>
          <w:sz w:val="32"/>
        </w:rPr>
        <w:t>Life-Course Risk Map</w:t>
      </w:r>
    </w:p>
    <w:p>
      <w:pPr>
        <w:spacing w:after="80"/>
      </w:pPr>
      <w:r>
        <w:rPr>
          <w:rFonts w:ascii="Open Sans" w:hAnsi="Open Sans" w:cs="Open Sans"/>
          <w:i/>
          <w:color w:val="555555"/>
          <w:sz w:val="18"/>
        </w:rPr>
        <w:t>Lesson 6 — Human Development and the Life Course</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Build a life-course map of when risk for your topic emerges, accumulates, and manifests.</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A simple life-course diagram with the standard windows (prenatal, infancy, childhood, adolescence, early/mid/late adulthood, older age) showing when risk for your topic emerges and when it manifests.</w:t>
      </w:r>
    </w:p>
    <w:p>
      <w:pPr>
        <w:pStyle w:val="ListBullet"/>
        <w:spacing w:after="40"/>
      </w:pPr>
      <w:r>
        <w:rPr>
          <w:rFonts w:ascii="Open Sans" w:hAnsi="Open Sans" w:cs="Open Sans"/>
          <w:sz w:val="21"/>
        </w:rPr>
        <w:t>For each window: 1–2 sentences on what is known, what is unknown, and which exposures matter most.</w:t>
      </w:r>
    </w:p>
    <w:p>
      <w:pPr>
        <w:pStyle w:val="ListBullet"/>
        <w:spacing w:after="40"/>
      </w:pPr>
      <w:r>
        <w:rPr>
          <w:rFonts w:ascii="Open Sans" w:hAnsi="Open Sans" w:cs="Open Sans"/>
          <w:sz w:val="21"/>
        </w:rPr>
        <w:t>Identify the 'critical window' for your topic if one exists (e.g., 1000 days for nutrition; adolescence for substance-use onset; menopause for bone loss).</w:t>
      </w:r>
    </w:p>
    <w:p>
      <w:pPr>
        <w:pStyle w:val="ListBullet"/>
        <w:spacing w:after="40"/>
      </w:pPr>
      <w:r>
        <w:rPr>
          <w:rFonts w:ascii="Open Sans" w:hAnsi="Open Sans" w:cs="Open Sans"/>
          <w:sz w:val="21"/>
        </w:rPr>
        <w:t>Submit as a 1–2 page document.</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lesson made the life-course lens explicit. Risk does not sit in a single decade — your map should show the accumulation and the inflection points.</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map to Week 7.</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"Human Development and the Life Course"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Map covers prenatal through late life (no missing windows). Critical window (if claimed) is defended, not asserted.</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transcripts).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Life-Course Risk Map</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Map covers prenatal through late life (no missing windows).</w:t>
      </w:r>
    </w:p>
    <w:p>
      <w:pPr>
        <w:pStyle w:val="ListBullet"/>
        <w:spacing w:after="40"/>
      </w:pPr>
      <w:r>
        <w:rPr>
          <w:rFonts w:ascii="Open Sans" w:hAnsi="Open Sans" w:cs="Open Sans"/>
          <w:sz w:val="21"/>
        </w:rPr>
        <w:t>Critical window (if claimed) is defended, not asserted.</w:t>
      </w:r>
    </w:p>
    <w:p>
      <w:pPr>
        <w:pStyle w:val="ListBullet"/>
        <w:spacing w:after="40"/>
      </w:pPr>
      <w:r>
        <w:rPr>
          <w:rFonts w:ascii="Open Sans" w:hAnsi="Open Sans" w:cs="Open Sans"/>
          <w:sz w:val="21"/>
        </w:rPr>
        <w:t>Distinguishes emergence from manifestation.</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Health Topic Biography. Students should refine and integrate this milestone in Week 12's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07</w:t>
      </w:r>
    </w:p>
    <w:p>
      <w:pPr>
        <w:spacing w:after="40"/>
      </w:pPr>
      <w:r>
        <w:rPr>
          <w:rFonts w:ascii="Open Sans" w:hAnsi="Open Sans" w:cs="Open Sans"/>
          <w:b/>
          <w:color w:val="065C50"/>
          <w:sz w:val="32"/>
        </w:rPr>
        <w:t>Genetic &amp; Genomic Contribution</w:t>
      </w:r>
    </w:p>
    <w:p>
      <w:pPr>
        <w:spacing w:after="80"/>
      </w:pPr>
      <w:r>
        <w:rPr>
          <w:rFonts w:ascii="Open Sans" w:hAnsi="Open Sans" w:cs="Open Sans"/>
          <w:i/>
          <w:color w:val="555555"/>
          <w:sz w:val="18"/>
        </w:rPr>
        <w:t>Lesson 7 — Genetics, Genomics, and Health</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Document the genetic and genomic contribution to your topic, including heritability, candidate genes or GWAS findings, and gene–environment interaction where relevant.</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A 1-page summary covering: heritability estimate (with citation) or note that none is established; named genes or GWAS hits if any (with citation); gene–environment interaction with one named environmental modifier.</w:t>
      </w:r>
    </w:p>
    <w:p>
      <w:pPr>
        <w:pStyle w:val="ListBullet"/>
        <w:spacing w:after="40"/>
      </w:pPr>
      <w:r>
        <w:rPr>
          <w:rFonts w:ascii="Open Sans" w:hAnsi="Open Sans" w:cs="Open Sans"/>
          <w:sz w:val="21"/>
        </w:rPr>
        <w:t>A short paragraph on the limits of genetic explanation for your topic (e.g., heritability is not destiny; GWAS effect sizes are small; ancestry bias in reference panels).</w:t>
      </w:r>
    </w:p>
    <w:p>
      <w:pPr>
        <w:pStyle w:val="ListBullet"/>
        <w:spacing w:after="40"/>
      </w:pPr>
      <w:r>
        <w:rPr>
          <w:rFonts w:ascii="Open Sans" w:hAnsi="Open Sans" w:cs="Open Sans"/>
          <w:sz w:val="21"/>
        </w:rPr>
        <w:t>Submit as a 1–2 page document.</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lesson balanced 'genes matter' with 'genes are not destiny.' Your audit should sit in that balance, not collapse to either extreme.</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summary to Week 8.</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"Genetics, Genomics, and Health"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Heritability or genetic finding is sourced (or honestly absent). At least one gene–environment interaction is named.</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transcripts).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Genetic &amp; Genomic Contribution</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Heritability or genetic finding is sourced (or honestly absent).</w:t>
      </w:r>
    </w:p>
    <w:p>
      <w:pPr>
        <w:pStyle w:val="ListBullet"/>
        <w:spacing w:after="40"/>
      </w:pPr>
      <w:r>
        <w:rPr>
          <w:rFonts w:ascii="Open Sans" w:hAnsi="Open Sans" w:cs="Open Sans"/>
          <w:sz w:val="21"/>
        </w:rPr>
        <w:t>At least one gene–environment interaction is named.</w:t>
      </w:r>
    </w:p>
    <w:p>
      <w:pPr>
        <w:pStyle w:val="ListBullet"/>
        <w:spacing w:after="40"/>
      </w:pPr>
      <w:r>
        <w:rPr>
          <w:rFonts w:ascii="Open Sans" w:hAnsi="Open Sans" w:cs="Open Sans"/>
          <w:sz w:val="21"/>
        </w:rPr>
        <w:t>Limits of genetic explanation are addressed without dismissiveness.</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Health Topic Biography. Students should refine and integrate this milestone in Week 12's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08</w:t>
      </w:r>
    </w:p>
    <w:p>
      <w:pPr>
        <w:spacing w:after="40"/>
      </w:pPr>
      <w:r>
        <w:rPr>
          <w:rFonts w:ascii="Open Sans" w:hAnsi="Open Sans" w:cs="Open Sans"/>
          <w:b/>
          <w:color w:val="065C50"/>
          <w:sz w:val="32"/>
        </w:rPr>
        <w:t>Behavioural &amp; Mental-Health Pathways</w:t>
      </w:r>
    </w:p>
    <w:p>
      <w:pPr>
        <w:spacing w:after="80"/>
      </w:pPr>
      <w:r>
        <w:rPr>
          <w:rFonts w:ascii="Open Sans" w:hAnsi="Open Sans" w:cs="Open Sans"/>
          <w:i/>
          <w:color w:val="555555"/>
          <w:sz w:val="18"/>
        </w:rPr>
        <w:t>Lesson 8 — Health Behaviors, Mental Health, and Social Influence</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Map the behavioural and mental-health pathways that contribute to your topic, and the social-influence mechanisms that shape them.</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A simple diagram or table linking 2–4 health behaviours (e.g., smoking, alcohol, screen use, dietary patterns) to your topic, citing one source per link.</w:t>
      </w:r>
    </w:p>
    <w:p>
      <w:pPr>
        <w:pStyle w:val="ListBullet"/>
        <w:spacing w:after="40"/>
      </w:pPr>
      <w:r>
        <w:rPr>
          <w:rFonts w:ascii="Open Sans" w:hAnsi="Open Sans" w:cs="Open Sans"/>
          <w:sz w:val="21"/>
        </w:rPr>
        <w:t>A 1-paragraph note on the mental-health overlap with your topic (bidirectional, comorbid, mediator, or absent).</w:t>
      </w:r>
    </w:p>
    <w:p>
      <w:pPr>
        <w:pStyle w:val="ListBullet"/>
        <w:spacing w:after="40"/>
      </w:pPr>
      <w:r>
        <w:rPr>
          <w:rFonts w:ascii="Open Sans" w:hAnsi="Open Sans" w:cs="Open Sans"/>
          <w:sz w:val="21"/>
        </w:rPr>
        <w:t>Name one documented social-influence mechanism (peer effects, social norms, network position, advertising exposure) that shapes a key behaviour for your topic.</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lesson treated behaviour as socially embedded, not individually chosen. Your audit should make the social pathway visible alongside the behavioural one.</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map to Week 9.</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"Health Behaviors, Mental Health, and Social Influence"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Behavioural pathways are real and sourced. Mental-health overlap is characterised honestly (including 'no clear link' when appropriate).</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transcripts).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Behavioural &amp; Mental-Health Pathways</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Behavioural pathways are real and sourced.</w:t>
      </w:r>
    </w:p>
    <w:p>
      <w:pPr>
        <w:pStyle w:val="ListBullet"/>
        <w:spacing w:after="40"/>
      </w:pPr>
      <w:r>
        <w:rPr>
          <w:rFonts w:ascii="Open Sans" w:hAnsi="Open Sans" w:cs="Open Sans"/>
          <w:sz w:val="21"/>
        </w:rPr>
        <w:t>Mental-health overlap is characterised honestly (including 'no clear link' when appropriate).</w:t>
      </w:r>
    </w:p>
    <w:p>
      <w:pPr>
        <w:pStyle w:val="ListBullet"/>
        <w:spacing w:after="40"/>
      </w:pPr>
      <w:r>
        <w:rPr>
          <w:rFonts w:ascii="Open Sans" w:hAnsi="Open Sans" w:cs="Open Sans"/>
          <w:sz w:val="21"/>
        </w:rPr>
        <w:t>At least one social-influence mechanism is named and explained.</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Health Topic Biography. Students should refine and integrate this milestone in Week 12's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09</w:t>
      </w:r>
    </w:p>
    <w:p>
      <w:pPr>
        <w:spacing w:after="40"/>
      </w:pPr>
      <w:r>
        <w:rPr>
          <w:rFonts w:ascii="Open Sans" w:hAnsi="Open Sans" w:cs="Open Sans"/>
          <w:b/>
          <w:color w:val="065C50"/>
          <w:sz w:val="32"/>
        </w:rPr>
        <w:t>Environmental Exposures Audit</w:t>
      </w:r>
    </w:p>
    <w:p>
      <w:pPr>
        <w:spacing w:after="80"/>
      </w:pPr>
      <w:r>
        <w:rPr>
          <w:rFonts w:ascii="Open Sans" w:hAnsi="Open Sans" w:cs="Open Sans"/>
          <w:i/>
          <w:color w:val="555555"/>
          <w:sz w:val="18"/>
        </w:rPr>
        <w:t>Lesson 9 — Environmental Health: Indoor, Built, and Natural</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Audit environmental exposures relevant to your topic across the three environmental layers: indoor, built, and natural.</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A 1-page table: rows = indoor (air, dust, mould, radon), built (housing, transportation, green space), natural (air pollution, water, climate, wildfire smoke, heat); columns = relevance to your topic, named exposure, source.</w:t>
      </w:r>
    </w:p>
    <w:p>
      <w:pPr>
        <w:pStyle w:val="ListBullet"/>
        <w:spacing w:after="40"/>
      </w:pPr>
      <w:r>
        <w:rPr>
          <w:rFonts w:ascii="Open Sans" w:hAnsi="Open Sans" w:cs="Open Sans"/>
          <w:sz w:val="21"/>
        </w:rPr>
        <w:t>Identify which environmental layer is most consequential for your topic in the BC context.</w:t>
      </w:r>
    </w:p>
    <w:p>
      <w:pPr>
        <w:pStyle w:val="ListBullet"/>
        <w:spacing w:after="40"/>
      </w:pPr>
      <w:r>
        <w:rPr>
          <w:rFonts w:ascii="Open Sans" w:hAnsi="Open Sans" w:cs="Open Sans"/>
          <w:sz w:val="21"/>
        </w:rPr>
        <w:t>Note one emerging climate-related exposure (heat, wildfire smoke, pollen seasonality, vector range) that may matter for your topic over the next decade.</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lesson layered the three environments. Many topics get framed as one-layer issues (e.g., 'air quality') when in reality multiple layers contribute — your audit should make that visible.</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audit to Week 10.</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"Environmental Health: Indoor, Built, and Natural"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All three layers addressed (or non-relevance explicitly noted). Named exposures with sources, not generic 'pollution'.</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transcripts).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Environmental Exposures Audit</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All three layers addressed (or non-relevance explicitly noted).</w:t>
      </w:r>
    </w:p>
    <w:p>
      <w:pPr>
        <w:pStyle w:val="ListBullet"/>
        <w:spacing w:after="40"/>
      </w:pPr>
      <w:r>
        <w:rPr>
          <w:rFonts w:ascii="Open Sans" w:hAnsi="Open Sans" w:cs="Open Sans"/>
          <w:sz w:val="21"/>
        </w:rPr>
        <w:t>Named exposures with sources, not generic 'pollution'.</w:t>
      </w:r>
    </w:p>
    <w:p>
      <w:pPr>
        <w:pStyle w:val="ListBullet"/>
        <w:spacing w:after="40"/>
      </w:pPr>
      <w:r>
        <w:rPr>
          <w:rFonts w:ascii="Open Sans" w:hAnsi="Open Sans" w:cs="Open Sans"/>
          <w:sz w:val="21"/>
        </w:rPr>
        <w:t>BC context is engaged, not ignored.</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Health Topic Biography. Students should refine and integrate this milestone in Week 12's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10</w:t>
      </w:r>
    </w:p>
    <w:p>
      <w:pPr>
        <w:spacing w:after="40"/>
      </w:pPr>
      <w:r>
        <w:rPr>
          <w:rFonts w:ascii="Open Sans" w:hAnsi="Open Sans" w:cs="Open Sans"/>
          <w:b/>
          <w:color w:val="065C50"/>
          <w:sz w:val="32"/>
        </w:rPr>
        <w:t>Occupational Exposures &amp; Worker Populations</w:t>
      </w:r>
    </w:p>
    <w:p>
      <w:pPr>
        <w:spacing w:after="80"/>
      </w:pPr>
      <w:r>
        <w:rPr>
          <w:rFonts w:ascii="Open Sans" w:hAnsi="Open Sans" w:cs="Open Sans"/>
          <w:i/>
          <w:color w:val="555555"/>
          <w:sz w:val="18"/>
        </w:rPr>
        <w:t>Lesson 10 — Occupational Health and Worker Safety</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Identify which occupational populations bear elevated risk for your topic and what the relevant exposures are.</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A 1-page memo listing 2–3 occupational populations with elevated risk for your topic (e.g., agricultural workers, healthcare workers, transport workers, sex workers, construction trades, cleaners).</w:t>
      </w:r>
    </w:p>
    <w:p>
      <w:pPr>
        <w:pStyle w:val="ListBullet"/>
        <w:spacing w:after="40"/>
      </w:pPr>
      <w:r>
        <w:rPr>
          <w:rFonts w:ascii="Open Sans" w:hAnsi="Open Sans" w:cs="Open Sans"/>
          <w:sz w:val="21"/>
        </w:rPr>
        <w:t>For each: the named exposure(s), the WorkSafeBC or NIOSH evidence base if available, and what makes the risk occupational rather than general.</w:t>
      </w:r>
    </w:p>
    <w:p>
      <w:pPr>
        <w:pStyle w:val="ListBullet"/>
        <w:spacing w:after="40"/>
      </w:pPr>
      <w:r>
        <w:rPr>
          <w:rFonts w:ascii="Open Sans" w:hAnsi="Open Sans" w:cs="Open Sans"/>
          <w:sz w:val="21"/>
        </w:rPr>
        <w:t>A short paragraph on populations whose occupational exposures are under-documented (informal workers, gig economy, undocumented workers).</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lesson treated occupation as a major and under-discussed determinant. Your audit should make the occupational gradient visible for your topic.</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memo to Week 11.</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"Occupational Health and Worker Safety"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Occupational populations are real and named. Exposures are specific (chemical, ergonomic, psychosocial), not generic.</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transcripts).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Occupational Exposures &amp; Worker Populations</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Occupational populations are real and named.</w:t>
      </w:r>
    </w:p>
    <w:p>
      <w:pPr>
        <w:pStyle w:val="ListBullet"/>
        <w:spacing w:after="40"/>
      </w:pPr>
      <w:r>
        <w:rPr>
          <w:rFonts w:ascii="Open Sans" w:hAnsi="Open Sans" w:cs="Open Sans"/>
          <w:sz w:val="21"/>
        </w:rPr>
        <w:t>Exposures are specific (chemical, ergonomic, psychosocial), not generic.</w:t>
      </w:r>
    </w:p>
    <w:p>
      <w:pPr>
        <w:pStyle w:val="ListBullet"/>
        <w:spacing w:after="40"/>
      </w:pPr>
      <w:r>
        <w:rPr>
          <w:rFonts w:ascii="Open Sans" w:hAnsi="Open Sans" w:cs="Open Sans"/>
          <w:sz w:val="21"/>
        </w:rPr>
        <w:t>Under-documented populations are addressed honestly.</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Health Topic Biography. Students should refine and integrate this milestone in Week 12's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11</w:t>
      </w:r>
    </w:p>
    <w:p>
      <w:pPr>
        <w:spacing w:after="40"/>
      </w:pPr>
      <w:r>
        <w:rPr>
          <w:rFonts w:ascii="Open Sans" w:hAnsi="Open Sans" w:cs="Open Sans"/>
          <w:b/>
          <w:color w:val="065C50"/>
          <w:sz w:val="32"/>
        </w:rPr>
        <w:t>Inequities &amp; Determinants Audit</w:t>
      </w:r>
    </w:p>
    <w:p>
      <w:pPr>
        <w:spacing w:after="80"/>
      </w:pPr>
      <w:r>
        <w:rPr>
          <w:rFonts w:ascii="Open Sans" w:hAnsi="Open Sans" w:cs="Open Sans"/>
          <w:i/>
          <w:color w:val="555555"/>
          <w:sz w:val="18"/>
        </w:rPr>
        <w:t>Lesson 11 — Social, Economic, and Political Determinants</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Document who bears the burden of your topic and why — across income, education, race/ethnicity, Indigeneity, immigration status, and geography.</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A 1–2 page audit: for each axis (income, education, race/ethnicity &amp; Indigeneity, immigration, geography/rural-urban), document the size and direction of the gradient using a named source.</w:t>
      </w:r>
    </w:p>
    <w:p>
      <w:pPr>
        <w:pStyle w:val="ListBullet"/>
        <w:spacing w:after="40"/>
      </w:pPr>
      <w:r>
        <w:rPr>
          <w:rFonts w:ascii="Open Sans" w:hAnsi="Open Sans" w:cs="Open Sans"/>
          <w:sz w:val="21"/>
        </w:rPr>
        <w:t>A 1-paragraph note on which axis is most consequential for your topic in the BC / Canadian context.</w:t>
      </w:r>
    </w:p>
    <w:p>
      <w:pPr>
        <w:pStyle w:val="ListBullet"/>
        <w:spacing w:after="40"/>
      </w:pPr>
      <w:r>
        <w:rPr>
          <w:rFonts w:ascii="Open Sans" w:hAnsi="Open Sans" w:cs="Open Sans"/>
          <w:sz w:val="21"/>
        </w:rPr>
        <w:t>A 1-paragraph note on the political/policy decisions that produce, sustain, or could close the gradient on your topic.</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lesson centred the social, economic, and political determinants as upstream — not as a footnote. Your audit should make the gradient quantifiable and the politics nameable.</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audit to Week 12.</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"Social, Economic, and Political Determinants"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All five axes engaged (with explicit note where data are absent). Gradients cite real data — not 'we know this is worse for X'.</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transcripts).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Inequities &amp; Determinants Audit</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All five axes engaged (with explicit note where data are absent).</w:t>
      </w:r>
    </w:p>
    <w:p>
      <w:pPr>
        <w:pStyle w:val="ListBullet"/>
        <w:spacing w:after="40"/>
      </w:pPr>
      <w:r>
        <w:rPr>
          <w:rFonts w:ascii="Open Sans" w:hAnsi="Open Sans" w:cs="Open Sans"/>
          <w:sz w:val="21"/>
        </w:rPr>
        <w:t>Gradients cite real data — not 'we know this is worse for X'.</w:t>
      </w:r>
    </w:p>
    <w:p>
      <w:pPr>
        <w:pStyle w:val="ListBullet"/>
        <w:spacing w:after="40"/>
      </w:pPr>
      <w:r>
        <w:rPr>
          <w:rFonts w:ascii="Open Sans" w:hAnsi="Open Sans" w:cs="Open Sans"/>
          <w:sz w:val="21"/>
        </w:rPr>
        <w:t>Politics named, not 'systemic issues' generalised.</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Health Topic Biography. Students should refine and integrate this milestone in Week 12's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FINAL · WEEK 12</w:t>
      </w:r>
    </w:p>
    <w:p>
      <w:pPr>
        <w:spacing w:after="40"/>
      </w:pPr>
      <w:r>
        <w:rPr>
          <w:rFonts w:ascii="Open Sans" w:hAnsi="Open Sans" w:cs="Open Sans"/>
          <w:b/>
          <w:color w:val="CC0033"/>
          <w:sz w:val="32"/>
        </w:rPr>
        <w:t>FINAL — Integrated Health Topic Biography + Op-Ed</w:t>
      </w:r>
    </w:p>
    <w:p>
      <w:pPr>
        <w:spacing w:after="80"/>
      </w:pPr>
      <w:r>
        <w:rPr>
          <w:rFonts w:ascii="Open Sans" w:hAnsi="Open Sans" w:cs="Open Sans"/>
          <w:i/>
          <w:color w:val="555555"/>
          <w:sz w:val="18"/>
        </w:rPr>
        <w:t>Lesson 12 — Disability, Diversity, and Integrating Foundations</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Submit the integrated 8–12 page Health Topic Biography along with a 1-page plain-language op-ed for a general audience.</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8–12 page integrated Health Topic Biography with: (1) topic statement and definitions; (2) history and surveillance; (3) integrated determinants (lifestyle, SRH, life-course, genetic, behavioural &amp; MH, environmental, occupational); (4) inequities and politics; (5) disability and diversity considerations; (6) what the foundations do and do not yet tell us; (7) 1-page reflection.</w:t>
      </w:r>
    </w:p>
    <w:p>
      <w:pPr>
        <w:pStyle w:val="ListBullet"/>
        <w:spacing w:after="40"/>
      </w:pPr>
      <w:r>
        <w:rPr>
          <w:rFonts w:ascii="Open Sans" w:hAnsi="Open Sans" w:cs="Open Sans"/>
          <w:sz w:val="21"/>
        </w:rPr>
        <w:t>1-page plain-language op-ed (~500 words) translating the integrated picture for a general audience — written for a community newspaper or class blog.</w:t>
      </w:r>
    </w:p>
    <w:p>
      <w:pPr>
        <w:pStyle w:val="ListBullet"/>
        <w:spacing w:after="40"/>
      </w:pPr>
      <w:r>
        <w:rPr>
          <w:rFonts w:ascii="Open Sans" w:hAnsi="Open Sans" w:cs="Open Sans"/>
          <w:sz w:val="21"/>
        </w:rPr>
        <w:t>Appendix containing the 11 refined weekly milestones.</w:t>
      </w:r>
    </w:p>
    <w:p>
      <w:pPr>
        <w:pStyle w:val="ListBullet"/>
        <w:spacing w:after="40"/>
      </w:pPr>
      <w:r>
        <w:rPr>
          <w:rFonts w:ascii="Open Sans" w:hAnsi="Open Sans" w:cs="Open Sans"/>
          <w:sz w:val="21"/>
        </w:rPr>
        <w:t>Single citation style throughout (APA-7, AMA, or Vancouver — pick one).</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lesson brought disability and diversity in as integrative lenses and closed the foundations arc. Your final submission should read like a real biography — a coherent multi-determinant portrait, not 11 stapled audits.</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Final submission due end of week.</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"Disability, Diversity, and Integrating Foundations"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Biography is integrated, not a sequence of weekly summaries. Op-ed is genuinely accessible — no undefined jargon.</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transcripts).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FINAL — Integrated Health Topic Biography + Op-Ed</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Biography is integrated, not a sequence of weekly summaries.</w:t>
      </w:r>
    </w:p>
    <w:p>
      <w:pPr>
        <w:pStyle w:val="ListBullet"/>
        <w:spacing w:after="40"/>
      </w:pPr>
      <w:r>
        <w:rPr>
          <w:rFonts w:ascii="Open Sans" w:hAnsi="Open Sans" w:cs="Open Sans"/>
          <w:sz w:val="21"/>
        </w:rPr>
        <w:t>Op-ed is genuinely accessible — no undefined jargon.</w:t>
      </w:r>
    </w:p>
    <w:p>
      <w:pPr>
        <w:pStyle w:val="ListBullet"/>
        <w:spacing w:after="40"/>
      </w:pPr>
      <w:r>
        <w:rPr>
          <w:rFonts w:ascii="Open Sans" w:hAnsi="Open Sans" w:cs="Open Sans"/>
          <w:sz w:val="21"/>
        </w:rPr>
        <w:t>Disability and diversity are integrated throughout, not appended.</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Health Topic Biography. Students should refine and integrate this milestone in Week 12's final submission rather than re-submit it raw.</w:t>
            </w:r>
          </w:p>
        </w:tc>
      </w:tr>
    </w:tbl>
    <w:p>
      <w:pPr>
        <w:spacing w:after="80"/>
      </w:pPr>
    </w:p>
    <w:p>
      <w:r>
        <w:br w:type="page"/>
      </w:r>
    </w:p>
    <w:p>
      <w:pPr>
        <w:spacing w:before="320" w:after="120"/>
        <w:outlineLvl w:val="0"/>
      </w:pPr>
      <w:r>
        <w:rPr>
          <w:rFonts w:ascii="Open Sans" w:hAnsi="Open Sans" w:cs="Open Sans"/>
          <w:b/>
          <w:color w:val="065C50"/>
          <w:sz w:val="36"/>
        </w:rPr>
        <w:t>PART 3 — Final integrated deliverable</w:t>
      </w:r>
    </w:p>
    <w:p>
      <w:pPr>
        <w:spacing w:after="40"/>
      </w:pPr>
      <w:r>
        <w:rPr>
          <w:rFonts w:ascii="Open Sans" w:hAnsi="Open Sans" w:cs="Open Sans"/>
          <w:b w:val="0"/>
          <w:i/>
          <w:color w:val="555555"/>
          <w:sz w:val="21"/>
        </w:rPr>
        <w:t>HSCI 130 — Foundations of Health Science  ·  Final deliverable</w:t>
      </w:r>
    </w:p>
    <w:p>
      <w:pPr>
        <w:spacing w:before="200" w:after="80"/>
        <w:outlineLvl w:val="1"/>
      </w:pPr>
      <w:r>
        <w:rPr>
          <w:rFonts w:ascii="Open Sans" w:hAnsi="Open Sans" w:cs="Open Sans"/>
          <w:b/>
          <w:color w:val="065C50"/>
          <w:sz w:val="26"/>
        </w:rPr>
        <w:t>Template outline</w:t>
      </w:r>
    </w:p>
    <w:p>
      <w:pPr>
        <w:spacing w:after="120"/>
      </w:pPr>
      <w:r>
        <w:rPr>
          <w:rFonts w:ascii="Open Sans" w:hAnsi="Open Sans" w:cs="Open Sans"/>
          <w:b w:val="0"/>
          <w:i w:val="0"/>
          <w:sz w:val="21"/>
        </w:rPr>
        <w:t>The Health Topic Biography — exemplar / template outline</w:t>
      </w:r>
    </w:p>
    <w:p>
      <w:pPr>
        <w:spacing w:after="120"/>
      </w:pPr>
      <w:r>
        <w:rPr>
          <w:rFonts w:ascii="Open Sans" w:hAnsi="Open Sans" w:cs="Open Sans"/>
          <w:b w:val="0"/>
          <w:i w:val="0"/>
          <w:sz w:val="21"/>
        </w:rPr>
        <w:t>Use this outline as a starting point. You may reorganize sections, but cover all the topics below.</w:t>
      </w:r>
    </w:p>
    <w:p>
      <w:pPr>
        <w:spacing w:after="120"/>
      </w:pPr>
      <w:r>
        <w:rPr>
          <w:rFonts w:ascii="Open Sans" w:hAnsi="Open Sans" w:cs="Open Sans"/>
          <w:b w:val="0"/>
          <w:i w:val="0"/>
          <w:sz w:val="21"/>
        </w:rPr>
        <w:t>1. Topic statement &amp; definitions</w:t>
      </w:r>
    </w:p>
    <w:p>
      <w:pPr>
        <w:spacing w:after="120"/>
      </w:pPr>
      <w:r>
        <w:rPr>
          <w:rFonts w:ascii="Open Sans" w:hAnsi="Open Sans" w:cs="Open Sans"/>
          <w:b w:val="0"/>
          <w:i w:val="0"/>
          <w:sz w:val="21"/>
        </w:rPr>
        <w:t>1–2 paragraphs. State your topic, why it matters now, the populations it concerns, and the definitional choices you have made (disease vs. illness vs. state vs. behaviour). Acknowledge contested definitions where they exist.</w:t>
      </w:r>
    </w:p>
    <w:p>
      <w:pPr>
        <w:spacing w:after="120"/>
      </w:pPr>
      <w:r>
        <w:rPr>
          <w:rFonts w:ascii="Open Sans" w:hAnsi="Open Sans" w:cs="Open Sans"/>
          <w:b w:val="0"/>
          <w:i w:val="0"/>
          <w:sz w:val="21"/>
        </w:rPr>
        <w:t>2. History &amp; surveillance</w:t>
      </w:r>
    </w:p>
    <w:p>
      <w:pPr>
        <w:spacing w:after="120"/>
      </w:pPr>
      <w:r>
        <w:rPr>
          <w:rFonts w:ascii="Open Sans" w:hAnsi="Open Sans" w:cs="Open Sans"/>
          <w:b w:val="0"/>
          <w:i w:val="0"/>
          <w:sz w:val="21"/>
        </w:rPr>
        <w:t>Timeline of milestones in the recognition of your topic as a public-health concern. Named surveillance systems with their stewards, refresh cadence, and limits.</w:t>
      </w:r>
    </w:p>
    <w:p>
      <w:pPr>
        <w:spacing w:after="120"/>
      </w:pPr>
      <w:r>
        <w:rPr>
          <w:rFonts w:ascii="Open Sans" w:hAnsi="Open Sans" w:cs="Open Sans"/>
          <w:b w:val="0"/>
          <w:i w:val="0"/>
          <w:sz w:val="21"/>
        </w:rPr>
        <w:t>3. Integrated determinants</w:t>
      </w:r>
    </w:p>
    <w:p>
      <w:pPr>
        <w:spacing w:after="120"/>
      </w:pPr>
      <w:r>
        <w:rPr>
          <w:rFonts w:ascii="Open Sans" w:hAnsi="Open Sans" w:cs="Open Sans"/>
          <w:b w:val="0"/>
          <w:i w:val="0"/>
          <w:sz w:val="21"/>
        </w:rPr>
        <w:t>Pull together the per-lens audits — lifestyle (nutrition, PA, sleep), SRH, life-course, genetic/genomic, behavioural &amp; mental-health, environmental, occupational — into a coherent narrative organised by determinant strength, not by lecture order. Distinguish proximal from distal.</w:t>
      </w:r>
    </w:p>
    <w:p>
      <w:pPr>
        <w:spacing w:after="120"/>
      </w:pPr>
      <w:r>
        <w:rPr>
          <w:rFonts w:ascii="Open Sans" w:hAnsi="Open Sans" w:cs="Open Sans"/>
          <w:b w:val="0"/>
          <w:i w:val="0"/>
          <w:sz w:val="21"/>
        </w:rPr>
        <w:t>4. Inequities &amp; politics</w:t>
      </w:r>
    </w:p>
    <w:p>
      <w:pPr>
        <w:spacing w:after="120"/>
      </w:pPr>
      <w:r>
        <w:rPr>
          <w:rFonts w:ascii="Open Sans" w:hAnsi="Open Sans" w:cs="Open Sans"/>
          <w:b w:val="0"/>
          <w:i w:val="0"/>
          <w:sz w:val="21"/>
        </w:rPr>
        <w:t>Audit who bears the burden and why, across income, education, race/ethnicity &amp; Indigeneity, immigration, geography. Name the political and policy decisions that produce, sustain, or could close the gradient.</w:t>
      </w:r>
    </w:p>
    <w:p>
      <w:pPr>
        <w:spacing w:after="120"/>
      </w:pPr>
      <w:r>
        <w:rPr>
          <w:rFonts w:ascii="Open Sans" w:hAnsi="Open Sans" w:cs="Open Sans"/>
          <w:b w:val="0"/>
          <w:i w:val="0"/>
          <w:sz w:val="21"/>
        </w:rPr>
        <w:t>5. Disability, diversity, and integration</w:t>
      </w:r>
    </w:p>
    <w:p>
      <w:pPr>
        <w:spacing w:after="120"/>
      </w:pPr>
      <w:r>
        <w:rPr>
          <w:rFonts w:ascii="Open Sans" w:hAnsi="Open Sans" w:cs="Open Sans"/>
          <w:b w:val="0"/>
          <w:i w:val="0"/>
          <w:sz w:val="21"/>
        </w:rPr>
        <w:t>Bring disability and diversity considerations through the entire picture, not as an appendix. What does the topic look like from the perspective of people most affected?</w:t>
      </w:r>
    </w:p>
    <w:p>
      <w:pPr>
        <w:spacing w:after="120"/>
      </w:pPr>
      <w:r>
        <w:rPr>
          <w:rFonts w:ascii="Open Sans" w:hAnsi="Open Sans" w:cs="Open Sans"/>
          <w:b w:val="0"/>
          <w:i w:val="0"/>
          <w:sz w:val="21"/>
        </w:rPr>
        <w:t>6. What the foundations do and do not yet tell us</w:t>
      </w:r>
    </w:p>
    <w:p>
      <w:pPr>
        <w:spacing w:after="120"/>
      </w:pPr>
      <w:r>
        <w:rPr>
          <w:rFonts w:ascii="Open Sans" w:hAnsi="Open Sans" w:cs="Open Sans"/>
          <w:b w:val="0"/>
          <w:i w:val="0"/>
          <w:sz w:val="21"/>
        </w:rPr>
        <w:t>Calibrated language matched to the strength of the evidence. Where is the foundation solid? Where are the gaps? What kinds of evidence does the foundations literature still lack?</w:t>
      </w:r>
    </w:p>
    <w:p>
      <w:pPr>
        <w:spacing w:after="120"/>
      </w:pPr>
      <w:r>
        <w:rPr>
          <w:rFonts w:ascii="Open Sans" w:hAnsi="Open Sans" w:cs="Open Sans"/>
          <w:b w:val="0"/>
          <w:i w:val="0"/>
          <w:sz w:val="21"/>
        </w:rPr>
        <w:t>7. Reflection (1 page)</w:t>
      </w:r>
    </w:p>
    <w:p>
      <w:pPr>
        <w:spacing w:after="120"/>
      </w:pPr>
      <w:r>
        <w:rPr>
          <w:rFonts w:ascii="Open Sans" w:hAnsi="Open Sans" w:cs="Open Sans"/>
          <w:b w:val="0"/>
          <w:i w:val="0"/>
          <w:sz w:val="21"/>
        </w:rPr>
        <w:t>What changed in your thinking from Week 1 to Week 12? Which determinant turned out to be more important than you thought? Which less?</w:t>
      </w:r>
    </w:p>
    <w:p>
      <w:pPr>
        <w:spacing w:after="120"/>
      </w:pPr>
      <w:r>
        <w:rPr>
          <w:rFonts w:ascii="Open Sans" w:hAnsi="Open Sans" w:cs="Open Sans"/>
          <w:b w:val="0"/>
          <w:i w:val="0"/>
          <w:sz w:val="21"/>
        </w:rPr>
        <w:t>8. Plain-language op-ed (1 page, ~500 words)</w:t>
      </w:r>
    </w:p>
    <w:p>
      <w:pPr>
        <w:spacing w:after="120"/>
      </w:pPr>
      <w:r>
        <w:rPr>
          <w:rFonts w:ascii="Open Sans" w:hAnsi="Open Sans" w:cs="Open Sans"/>
          <w:b w:val="0"/>
          <w:i w:val="0"/>
          <w:sz w:val="21"/>
        </w:rPr>
        <w:t>Translate the integrated picture for a general-audience venue (community newspaper, class blog, op-ed page). Bury no jargon.</w:t>
      </w:r>
    </w:p>
    <w:p>
      <w:pPr>
        <w:spacing w:after="120"/>
      </w:pPr>
      <w:r>
        <w:rPr>
          <w:rFonts w:ascii="Open Sans" w:hAnsi="Open Sans" w:cs="Open Sans"/>
          <w:b w:val="0"/>
          <w:i w:val="0"/>
          <w:sz w:val="21"/>
        </w:rPr>
        <w:t>Appendix A — Refined weekly milestones</w:t>
      </w:r>
    </w:p>
    <w:p>
      <w:pPr>
        <w:spacing w:after="120"/>
      </w:pPr>
      <w:r>
        <w:rPr>
          <w:rFonts w:ascii="Open Sans" w:hAnsi="Open Sans" w:cs="Open Sans"/>
          <w:b w:val="0"/>
          <w:i w:val="0"/>
          <w:sz w:val="21"/>
        </w:rPr>
        <w:t>All 11 weekly milestones (Weeks 1–11), refined and integrated, with cross-references to the main biography.</w:t>
      </w:r>
    </w:p>
    <w:p>
      <w:pPr>
        <w:spacing w:before="200" w:after="80"/>
        <w:outlineLvl w:val="1"/>
      </w:pPr>
      <w:r>
        <w:rPr>
          <w:rFonts w:ascii="Open Sans" w:hAnsi="Open Sans" w:cs="Open Sans"/>
          <w:b/>
          <w:color w:val="065C50"/>
          <w:sz w:val="26"/>
        </w:rPr>
        <w:t>Submission checklist</w:t>
      </w:r>
    </w:p>
    <w:p>
      <w:pPr>
        <w:pStyle w:val="ListBullet"/>
        <w:spacing w:after="40"/>
      </w:pPr>
      <w:r>
        <w:rPr>
          <w:rFonts w:ascii="Open Sans" w:hAnsi="Open Sans" w:cs="Open Sans"/>
          <w:sz w:val="21"/>
        </w:rPr>
        <w:t>All 11 weekly milestones integrated (not stapled).</w:t>
      </w:r>
    </w:p>
    <w:p>
      <w:pPr>
        <w:pStyle w:val="ListBullet"/>
        <w:spacing w:after="40"/>
      </w:pPr>
      <w:r>
        <w:rPr>
          <w:rFonts w:ascii="Open Sans" w:hAnsi="Open Sans" w:cs="Open Sans"/>
          <w:sz w:val="21"/>
        </w:rPr>
        <w:t>References in a consistent style (APA-7, AMA, or Vancouver — pick one).</w:t>
      </w:r>
    </w:p>
    <w:p>
      <w:pPr>
        <w:pStyle w:val="ListBullet"/>
        <w:spacing w:after="40"/>
      </w:pPr>
      <w:r>
        <w:rPr>
          <w:rFonts w:ascii="Open Sans" w:hAnsi="Open Sans" w:cs="Open Sans"/>
          <w:sz w:val="21"/>
        </w:rPr>
        <w:t>Page count: see master brief.</w:t>
      </w:r>
    </w:p>
    <w:p>
      <w:pPr>
        <w:pStyle w:val="ListBullet"/>
        <w:spacing w:after="40"/>
      </w:pPr>
      <w:r>
        <w:rPr>
          <w:rFonts w:ascii="Open Sans" w:hAnsi="Open Sans" w:cs="Open Sans"/>
          <w:sz w:val="21"/>
        </w:rPr>
        <w:t>AI-tool disclosure on cover page.</w:t>
      </w:r>
    </w:p>
    <w:p>
      <w:pPr>
        <w:pStyle w:val="ListBullet"/>
        <w:spacing w:after="40"/>
      </w:pPr>
      <w:r>
        <w:rPr>
          <w:rFonts w:ascii="Open Sans" w:hAnsi="Open Sans" w:cs="Open Sans"/>
          <w:sz w:val="21"/>
        </w:rPr>
        <w:t>Peer-review partner identified.</w:t>
      </w:r>
    </w:p>
    <w:p>
      <w:pPr>
        <w:spacing w:before="320" w:after="120"/>
        <w:outlineLvl w:val="0"/>
      </w:pPr>
      <w:r>
        <w:rPr>
          <w:rFonts w:ascii="Open Sans" w:hAnsi="Open Sans" w:cs="Open Sans"/>
          <w:b/>
          <w:color w:val="065C50"/>
          <w:sz w:val="36"/>
        </w:rPr>
        <w:t>PART 4 — Final deliverable rubric</w:t>
      </w:r>
    </w:p>
    <w:p>
      <w:pPr>
        <w:spacing w:after="120"/>
      </w:pPr>
      <w:r>
        <w:rPr>
          <w:rFonts w:ascii="Open Sans" w:hAnsi="Open Sans" w:cs="Open Sans"/>
          <w:b w:val="0"/>
          <w:i/>
          <w:color w:val="555555"/>
          <w:sz w:val="21"/>
        </w:rPr>
        <w:t>The final integrated deliverable is worth 25% of the course grade. It is marked out of 25 using the criteria below. Peer review of one classmate's deliverable adds a further 5%.</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Integration</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All twelve weekly milestones are integrated into a coherent whole — not stapled. Connections between sections are explicit; the reader can follow the analytic arc from question to conclusion.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 6</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Methodological rigour</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Choices about design, measurement, analysis, or interpretation are justified against alternatives. Threats to validity are named and addressed; uncertainty is calibrated.</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 6</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real, named sources. Citation style is consistent (APA-7 / AMA / Vancouver). Where data are used, provenance and access are documented.</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 5</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transparency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A second reader could reproduce the search, the analysis, or the appraisal from what is documented. Methods, materials, and decisions are visible.</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 4</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Communication &amp; calibration</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Writing is clear, audience-appropriate, and free of jargon overuse. Conclusions are calibrated to the strength of evidence — neither overclaiming nor under-selling.</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 4</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Final integrated deliverable</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25</w:t>
            </w:r>
          </w:p>
        </w:tc>
      </w:tr>
    </w:tbl>
    <w:p>
      <w:pPr>
        <w:spacing w:after="40"/>
      </w:pPr>
      <w:r>
        <w:rPr>
          <w:rFonts w:ascii="Open Sans" w:hAnsi="Open Sans" w:cs="Open Sans"/>
          <w:b/>
          <w:i w:val="0"/>
          <w:color w:val="042A25"/>
          <w:sz w:val="22"/>
        </w:rPr>
        <w:t>Peer review (5%)</w:t>
      </w:r>
    </w:p>
    <w:p>
      <w:pPr>
        <w:spacing w:after="120"/>
      </w:pPr>
      <w:r>
        <w:rPr>
          <w:rFonts w:ascii="Open Sans" w:hAnsi="Open Sans" w:cs="Open Sans"/>
          <w:b w:val="0"/>
          <w:i w:val="0"/>
          <w:sz w:val="21"/>
        </w:rPr>
        <w:t>Marked on the quality of the review you provide, not the score you give. Use the peer-review template provided. Constructive, specific, and actionable feedback earns full marks.</w:t>
      </w:r>
    </w:p>
    <w:sectPr w:rsidR="00FC693F" w:rsidRPr="0006063C" w:rsidSect="00034616">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Open Sans" w:hAnsi="Open San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