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841: Qualitative Research and Analytical Methods</w:t>
      </w:r>
    </w:p>
    <w:p>
      <w:pPr>
        <w:pStyle w:val="Heading2"/>
      </w:pPr>
      <w:r>
        <w:t xml:space="preserve">Lesson 4 · Qualitative Data Collection</w:t>
      </w:r>
    </w:p>
    <w:p>
      <w:pPr>
        <w:spacing w:after="70" w:before="0" w:line="260"/>
      </w:pPr>
      <w:r>
        <w:rPr>
          <w:i/>
          <w:iCs/>
          <w:color w:val="555555"/>
        </w:rPr>
        <w:t xml:space="preserve">Term week 4  ·  Three-hour session</w:t>
      </w:r>
    </w:p>
    <w:p>
      <w:pPr>
        <w:spacing w:after="90" w:before="0" w:line="260"/>
      </w:pPr>
      <w:r>
        <w:t xml:space="preserve">Map the families of qualitative data collection and treat transcription and field notes as analytic acts, not clerical ones.</w:t>
      </w:r>
    </w:p>
    <w:p>
      <w:pPr>
        <w:pStyle w:val="Heading3"/>
      </w:pPr>
      <w:r>
        <w:t xml:space="preserve">Learning objectives</w:t>
      </w:r>
    </w:p>
    <w:p>
      <w:pPr>
        <w:pStyle w:val="ListParagraph"/>
        <w:numPr>
          <w:ilvl w:val="0"/>
          <w:numId w:val="2"/>
        </w:numPr>
        <w:spacing w:after="40" w:line="258"/>
      </w:pPr>
      <w:r>
        <w:t xml:space="preserve">Distinguish indirect observation, direct observation, and elicitation as the three families of qualitative data collection.</w:t>
      </w:r>
    </w:p>
    <w:p>
      <w:pPr>
        <w:pStyle w:val="ListParagraph"/>
        <w:numPr>
          <w:ilvl w:val="0"/>
          <w:numId w:val="2"/>
        </w:numPr>
        <w:spacing w:after="40" w:line="258"/>
      </w:pPr>
      <w:r>
        <w:t xml:space="preserve">Identify the analytic uses (and limits) of behavior traces, archival records, and secondary qualitative datasets.</w:t>
      </w:r>
    </w:p>
    <w:p>
      <w:pPr>
        <w:pStyle w:val="ListParagraph"/>
        <w:numPr>
          <w:ilvl w:val="0"/>
          <w:numId w:val="2"/>
        </w:numPr>
        <w:spacing w:after="40" w:line="258"/>
      </w:pPr>
      <w:r>
        <w:t xml:space="preserve">Locate yourself on the participant-observation spectrum from complete observer to complete participant, and explain what each position can and cannot see.</w:t>
      </w:r>
    </w:p>
    <w:p>
      <w:pPr>
        <w:pStyle w:val="ListParagraph"/>
        <w:numPr>
          <w:ilvl w:val="0"/>
          <w:numId w:val="2"/>
        </w:numPr>
        <w:spacing w:after="40" w:line="258"/>
      </w:pPr>
      <w:r>
        <w:t xml:space="preserve">Compare unstructured, semi-structured, and structured interviews on what they elicit, how they are designed, and what they cannot reach.</w:t>
      </w:r>
    </w:p>
    <w:p>
      <w:pPr>
        <w:pStyle w:val="ListParagraph"/>
        <w:numPr>
          <w:ilvl w:val="0"/>
          <w:numId w:val="2"/>
        </w:numPr>
        <w:spacing w:after="40" w:line="258"/>
      </w:pPr>
      <w:r>
        <w:t xml:space="preserve">Explain when focus groups outperform individual interviews and what moderator skills they demand.</w:t>
      </w:r>
    </w:p>
    <w:p>
      <w:pPr>
        <w:pStyle w:val="ListParagraph"/>
        <w:numPr>
          <w:ilvl w:val="0"/>
          <w:numId w:val="2"/>
        </w:numPr>
        <w:spacing w:after="40" w:line="258"/>
      </w:pPr>
      <w:r>
        <w:t xml:space="preserve">Preview the cultural-domain elicitation methods (free listing, pile sorts, triads, rankings) reserved for a later module.</w:t>
      </w:r>
    </w:p>
    <w:p>
      <w:pPr>
        <w:pStyle w:val="ListParagraph"/>
        <w:numPr>
          <w:ilvl w:val="0"/>
          <w:numId w:val="2"/>
        </w:numPr>
        <w:spacing w:after="40" w:line="258"/>
      </w:pPr>
      <w:r>
        <w:t xml:space="preserve">Treat transcription as an analytic act, recognising verbatim conventions, Jefferson notation (preview), intelligent verbatim, and clean verbatim, and what each choice forecloses.</w:t>
      </w:r>
    </w:p>
    <w:p>
      <w:pPr>
        <w:pStyle w:val="ListParagraph"/>
        <w:numPr>
          <w:ilvl w:val="0"/>
          <w:numId w:val="2"/>
        </w:numPr>
        <w:spacing w:after="40" w:line="258"/>
      </w:pPr>
      <w:r>
        <w:t xml:space="preserve">Write disciplined field notes using the Emerson, Fretz &amp; Shaw progression: jottings → expanded notes → analytic memos.</w:t>
      </w:r>
    </w:p>
    <w:p>
      <w:pPr>
        <w:pStyle w:val="ListParagraph"/>
        <w:numPr>
          <w:ilvl w:val="0"/>
          <w:numId w:val="2"/>
        </w:numPr>
        <w:spacing w:after="40" w:line="258"/>
      </w:pPr>
      <w:r>
        <w:t xml:space="preserve">Complete the capstone milestone: a dataset familiarisation log covering 6–8 transcripts.</w:t>
      </w:r>
    </w:p>
    <w:p>
      <w:pPr>
        <w:pStyle w:val="Heading3"/>
      </w:pPr>
      <w:r>
        <w:t xml:space="preserve">Before class (flipped preparation)</w:t>
      </w:r>
    </w:p>
    <w:p>
      <w:pPr>
        <w:spacing w:after="90" w:before="0" w:line="260"/>
      </w:pPr>
      <w:r>
        <w:t xml:space="preserve">Students complete the Lesson 4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Where do you stand? (10 min)</w:t>
      </w:r>
    </w:p>
    <w:p>
      <w:pPr>
        <w:spacing w:after="90" w:before="0" w:line="260"/>
      </w:pPr>
      <w:r>
        <w:rPr>
          <w:b/>
          <w:bCs/>
        </w:rPr>
        <w:t xml:space="preserve">Set-up. </w:t>
      </w:r>
      <w:r>
        <w:t xml:space="preserve">Slide showing the observer-to-participant spectrum (complete observer, observer-as-participant, participant-as-observer, complete participant).</w:t>
      </w:r>
    </w:p>
    <w:p>
      <w:pPr>
        <w:spacing w:after="30" w:before="0" w:line="260"/>
      </w:pPr>
      <w:r>
        <w:rPr>
          <w:b/>
          <w:bCs/>
        </w:rPr>
        <w:t xml:space="preserve">Run it:</w:t>
      </w:r>
    </w:p>
    <w:p>
      <w:pPr>
        <w:pStyle w:val="ListParagraph"/>
        <w:numPr>
          <w:ilvl w:val="0"/>
          <w:numId w:val="3"/>
        </w:numPr>
        <w:spacing w:after="40" w:line="258"/>
      </w:pPr>
      <w:r>
        <w:t xml:space="preserve">Students place a given study on the spectrum and say what that position cannot see (three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Each position trades access for distance: a complete observer sees behaviour but not meaning; a complete participant feels the experience but loses analytic distance.</w:t>
            </w:r>
          </w:p>
          <w:p>
            <w:pPr>
              <w:pStyle w:val="ListParagraph"/>
              <w:numPr>
                <w:ilvl w:val="0"/>
                <w:numId w:val="2"/>
              </w:numPr>
              <w:spacing w:after="30" w:line="258"/>
            </w:pPr>
            <w:r>
              <w:t xml:space="preserve">Your position shapes the data you can gather and the blind spots you carry.</w:t>
            </w:r>
          </w:p>
          <w:p>
            <w:pPr>
              <w:pStyle w:val="ListParagraph"/>
              <w:numPr>
                <w:ilvl w:val="0"/>
                <w:numId w:val="2"/>
              </w:numPr>
              <w:spacing w:after="30" w:line="258"/>
            </w:pPr>
            <w:r>
              <w:t xml:space="preserve">There is no neutral position; you choose and disclose it.</w:t>
            </w:r>
          </w:p>
        </w:tc>
      </w:tr>
    </w:tbl>
    <w:p>
      <w:pPr>
        <w:pStyle w:val="Heading3"/>
      </w:pPr>
      <w:r>
        <w:t xml:space="preserve">2 · Co-construction review (32 min)</w:t>
      </w:r>
    </w:p>
    <w:p>
      <w:pPr>
        <w:pStyle w:val="Heading4"/>
      </w:pPr>
      <w:r>
        <w:t xml:space="preserve">Activity 1: Map the collection families</w:t>
      </w:r>
    </w:p>
    <w:p>
      <w:pPr>
        <w:spacing w:after="30" w:before="0" w:line="260"/>
      </w:pPr>
      <w:r>
        <w:rPr>
          <w:i/>
          <w:iCs/>
          <w:color w:val="555555"/>
          <w:sz w:val="18"/>
          <w:szCs w:val="18"/>
        </w:rPr>
        <w:t xml:space="preserve">Sorting, groups  ·  16 min</w:t>
      </w:r>
    </w:p>
    <w:p>
      <w:pPr>
        <w:spacing w:after="90" w:before="0" w:line="260"/>
      </w:pPr>
      <w:r>
        <w:rPr>
          <w:b/>
          <w:bCs/>
        </w:rPr>
        <w:t xml:space="preserve">Materials. </w:t>
      </w:r>
      <w:r>
        <w:t xml:space="preserve">Cards for methods across indirect observation (traces, archives, secondary data), direct observation (participant observation), and elicitation (interviews, focus groups).</w:t>
      </w:r>
    </w:p>
    <w:p>
      <w:pPr>
        <w:spacing w:after="30" w:before="0" w:line="260"/>
      </w:pPr>
      <w:r>
        <w:rPr>
          <w:b/>
          <w:bCs/>
        </w:rPr>
        <w:t xml:space="preserve">Run it:</w:t>
      </w:r>
    </w:p>
    <w:p>
      <w:pPr>
        <w:pStyle w:val="ListParagraph"/>
        <w:numPr>
          <w:ilvl w:val="0"/>
          <w:numId w:val="4"/>
        </w:numPr>
        <w:spacing w:after="40" w:line="258"/>
      </w:pPr>
      <w:r>
        <w:t xml:space="preserve">Groups sort each method into its family and note its analytic uses and limits (six minutes).</w:t>
      </w:r>
    </w:p>
    <w:p>
      <w:pPr>
        <w:pStyle w:val="ListParagraph"/>
        <w:numPr>
          <w:ilvl w:val="0"/>
          <w:numId w:val="4"/>
        </w:numPr>
        <w:spacing w:after="40" w:line="258"/>
      </w:pPr>
      <w:r>
        <w:t xml:space="preserve">Groups identify which family best suits the capstone dataset.</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Sort each method into indirect observation, direct observation, or elicitation, with one use and one limit each.</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Indirect observation (traces, archives, secondary transcripts) is unobtrusive but limited to what was recorded.</w:t>
            </w:r>
          </w:p>
          <w:p>
            <w:pPr>
              <w:pStyle w:val="ListParagraph"/>
              <w:numPr>
                <w:ilvl w:val="0"/>
                <w:numId w:val="2"/>
              </w:numPr>
              <w:spacing w:after="30" w:line="258"/>
            </w:pPr>
            <w:r>
              <w:t xml:space="preserve">Direct observation captures behaviour in context but is labour-intensive and reactive.</w:t>
            </w:r>
          </w:p>
          <w:p>
            <w:pPr>
              <w:pStyle w:val="ListParagraph"/>
              <w:numPr>
                <w:ilvl w:val="0"/>
                <w:numId w:val="2"/>
              </w:numPr>
              <w:spacing w:after="30" w:line="258"/>
            </w:pPr>
            <w:r>
              <w:t xml:space="preserve">Elicitation (interviews, focus groups) accesses meaning and accounts but gets reported, not observed, behaviour.</w:t>
            </w:r>
          </w:p>
        </w:tc>
      </w:tr>
    </w:tbl>
    <w:p>
      <w:pPr>
        <w:spacing w:after="90" w:before="0" w:line="260"/>
      </w:pPr>
      <w:r>
        <w:rPr>
          <w:b/>
          <w:bCs/>
        </w:rPr>
        <w:t xml:space="preserve">Close. </w:t>
      </w:r>
      <w:r>
        <w:t xml:space="preserve">Students note which family their capstone data belong to and its limits.</w:t>
      </w:r>
    </w:p>
    <w:p>
      <w:pPr>
        <w:pStyle w:val="Heading4"/>
      </w:pPr>
      <w:r>
        <w:t xml:space="preserve">Activity 2: Compare interview types</w:t>
      </w:r>
    </w:p>
    <w:p>
      <w:pPr>
        <w:spacing w:after="30" w:before="0" w:line="260"/>
      </w:pPr>
      <w:r>
        <w:rPr>
          <w:i/>
          <w:iCs/>
          <w:color w:val="555555"/>
          <w:sz w:val="18"/>
          <w:szCs w:val="18"/>
        </w:rPr>
        <w:t xml:space="preserve">Clinic, pairs  ·  16 min</w:t>
      </w:r>
    </w:p>
    <w:p>
      <w:pPr>
        <w:spacing w:after="90" w:before="0" w:line="260"/>
      </w:pPr>
      <w:r>
        <w:rPr>
          <w:b/>
          <w:bCs/>
        </w:rPr>
        <w:t xml:space="preserve">Materials. </w:t>
      </w:r>
      <w:r>
        <w:t xml:space="preserve">Examples of unstructured, semi-structured, and structured interview excerpts.</w:t>
      </w:r>
    </w:p>
    <w:p>
      <w:pPr>
        <w:spacing w:after="30" w:before="0" w:line="260"/>
      </w:pPr>
      <w:r>
        <w:rPr>
          <w:b/>
          <w:bCs/>
        </w:rPr>
        <w:t xml:space="preserve">Run it:</w:t>
      </w:r>
    </w:p>
    <w:p>
      <w:pPr>
        <w:pStyle w:val="ListParagraph"/>
        <w:numPr>
          <w:ilvl w:val="0"/>
          <w:numId w:val="5"/>
        </w:numPr>
        <w:spacing w:after="40" w:line="258"/>
      </w:pPr>
      <w:r>
        <w:t xml:space="preserve">Pairs compare what each interview type elicits and how it is designed (six minutes).</w:t>
      </w:r>
    </w:p>
    <w:p>
      <w:pPr>
        <w:pStyle w:val="ListParagraph"/>
        <w:numPr>
          <w:ilvl w:val="0"/>
          <w:numId w:val="5"/>
        </w:numPr>
        <w:spacing w:after="40" w:line="258"/>
      </w:pPr>
      <w:r>
        <w:t xml:space="preserve">Pairs decide when a focus group would outperform individual interviews.</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Compare the three interview types on what they elicit, and say when a focus group would beat individual interviews.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Unstructured interviews follow the participant; semi-structured balance a guide with flexibility; structured interviews standardise for comparability.</w:t>
            </w:r>
          </w:p>
          <w:p>
            <w:pPr>
              <w:pStyle w:val="ListParagraph"/>
              <w:numPr>
                <w:ilvl w:val="0"/>
                <w:numId w:val="2"/>
              </w:numPr>
              <w:spacing w:after="30" w:line="258"/>
            </w:pPr>
            <w:r>
              <w:t xml:space="preserve">Focus groups surface norms and disagreement through interaction but suppress sensitive or minority views.</w:t>
            </w:r>
          </w:p>
          <w:p>
            <w:pPr>
              <w:pStyle w:val="ListParagraph"/>
              <w:numPr>
                <w:ilvl w:val="0"/>
                <w:numId w:val="2"/>
              </w:numPr>
              <w:spacing w:after="30" w:line="258"/>
            </w:pPr>
            <w:r>
              <w:t xml:space="preserve">The shared dataset's semi-structured interviews trade some comparability for depth.</w:t>
            </w:r>
          </w:p>
        </w:tc>
      </w:tr>
    </w:tbl>
    <w:p>
      <w:pPr>
        <w:spacing w:after="90" w:before="0" w:line="260"/>
      </w:pPr>
      <w:r>
        <w:rPr>
          <w:b/>
          <w:bCs/>
        </w:rPr>
        <w:t xml:space="preserve">Close. </w:t>
      </w:r>
      <w:r>
        <w:t xml:space="preserve">Students note the interview type behind their data and its trade-offs.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treat transcription as analysis rather than typing?</w:t>
      </w:r>
    </w:p>
    <w:p>
      <w:pPr>
        <w:spacing w:after="80" w:before="0" w:line="260"/>
      </w:pPr>
      <w:r>
        <w:rPr>
          <w:b/>
          <w:bCs/>
          <w:color w:val="0B7B6B"/>
        </w:rPr>
        <w:t xml:space="preserve">A.  </w:t>
      </w:r>
      <w:r>
        <w:t xml:space="preserve">Because every transcription choice (verbatim versus cleaned, whether to mark pauses and overlaps) decides what is available to analyse. Cleaning up speech erases hesitation and interaction that discourse analysis needs. The convention you pick forecloses some analyses, so it is an analytic decision.</w:t>
      </w:r>
    </w:p>
    <w:p>
      <w:pPr>
        <w:spacing w:after="20" w:before="0" w:line="260"/>
      </w:pPr>
      <w:r>
        <w:rPr>
          <w:b/>
          <w:bCs/>
          <w:color w:val="A3002A"/>
        </w:rPr>
        <w:t xml:space="preserve">Q.  </w:t>
      </w:r>
      <w:r>
        <w:rPr>
          <w:b/>
          <w:bCs/>
        </w:rPr>
        <w:t xml:space="preserve">Verbatim, intelligent verbatim, or clean verbatim: which should I use?</w:t>
      </w:r>
    </w:p>
    <w:p>
      <w:pPr>
        <w:spacing w:after="80" w:before="0" w:line="260"/>
      </w:pPr>
      <w:r>
        <w:rPr>
          <w:b/>
          <w:bCs/>
          <w:color w:val="0B7B6B"/>
        </w:rPr>
        <w:t xml:space="preserve">A.  </w:t>
      </w:r>
      <w:r>
        <w:t xml:space="preserve">Match it to the analysis. Discourse and conversation analysis need detailed verbatim (even Jefferson notation). Thematic and content analysis usually tolerate intelligent verbatim (light cleaning). Clean verbatim suits readability but loses interactional detail. Decide before you transcribe.</w:t>
      </w:r>
    </w:p>
    <w:p>
      <w:pPr>
        <w:spacing w:after="20" w:before="0" w:line="260"/>
      </w:pPr>
      <w:r>
        <w:rPr>
          <w:b/>
          <w:bCs/>
          <w:color w:val="A3002A"/>
        </w:rPr>
        <w:t xml:space="preserve">Q.  </w:t>
      </w:r>
      <w:r>
        <w:rPr>
          <w:b/>
          <w:bCs/>
        </w:rPr>
        <w:t xml:space="preserve">What are field notes for if I have recordings?</w:t>
      </w:r>
    </w:p>
    <w:p>
      <w:pPr>
        <w:spacing w:after="80" w:before="0" w:line="260"/>
      </w:pPr>
      <w:r>
        <w:rPr>
          <w:b/>
          <w:bCs/>
          <w:color w:val="0B7B6B"/>
        </w:rPr>
        <w:t xml:space="preserve">A.  </w:t>
      </w:r>
      <w:r>
        <w:t xml:space="preserve">They capture what recordings miss: context, nonverbal cues, the setting, and your own analytic hunches. The Emerson, Fretz and Shaw progression from quick jottings to expanded notes to analytic memos turns observation into the beginning of analysis.</w:t>
      </w:r>
    </w:p>
    <w:p>
      <w:pPr>
        <w:pStyle w:val="Heading3"/>
      </w:pPr>
      <w:r>
        <w:t xml:space="preserve">4 · Applied exercise — Transcription conventions and field notes from a short recording (40 min)</w:t>
      </w:r>
    </w:p>
    <w:p>
      <w:pPr>
        <w:spacing w:after="90" w:before="0" w:line="260"/>
      </w:pPr>
      <w:r>
        <w:rPr>
          <w:b/>
          <w:bCs/>
        </w:rPr>
        <w:t xml:space="preserve">Materials. </w:t>
      </w:r>
      <w:r>
        <w:t xml:space="preserve">This handout (all raw material is printed below; nothing to search for or download). A pen, or a laptop with a plain text editor. A copy of the three transcription conventions summarised in the lesson (verbatim with Jefferson-style notation, intelligent verbatim, clean verbatim) and the Emerson, Fretz and Shaw progression of jottings to expanded notes to analytic memo.</w:t>
      </w:r>
    </w:p>
    <w:p>
      <w:pPr>
        <w:spacing w:after="90" w:before="0" w:line="260"/>
      </w:pPr>
      <w:r>
        <w:rPr>
          <w:b/>
          <w:bCs/>
        </w:rPr>
        <w:t xml:space="preserve">Task (for students). </w:t>
      </w:r>
      <w:r>
        <w:t xml:space="preserve">Turn one short raw exchange into three different transcripts and observe what each convention keeps and discards. Then convert a set of field jottings into expanded notes and one short analytic memo.</w:t>
      </w:r>
    </w:p>
    <w:p>
      <w:pPr>
        <w:spacing w:after="30" w:before="0" w:line="260"/>
      </w:pPr>
      <w:r>
        <w:rPr>
          <w:b/>
          <w:bCs/>
        </w:rPr>
        <w:t xml:space="preserve">Student instructions:</w:t>
      </w:r>
    </w:p>
    <w:p>
      <w:pPr>
        <w:pStyle w:val="ListParagraph"/>
        <w:numPr>
          <w:ilvl w:val="0"/>
          <w:numId w:val="6"/>
        </w:numPr>
        <w:spacing w:after="40" w:line="258"/>
      </w:pPr>
      <w:r>
        <w:t xml:space="preserve">Read the raw exchange below twice. The notation in it (pauses, overlap, emphasis, cut-offs) is the unedited record of how the talk actually happened.</w:t>
      </w:r>
    </w:p>
    <w:p>
      <w:pPr>
        <w:pStyle w:val="ListParagraph"/>
        <w:numPr>
          <w:ilvl w:val="0"/>
          <w:numId w:val="6"/>
        </w:numPr>
        <w:spacing w:after="40" w:line="258"/>
      </w:pPr>
      <w:r>
        <w:t xml:space="preserve">Produce a verbatim transcript that preserves the pauses, overlaps, false starts, and fillers, using simple notations: (.) for a short pause, (2.0) for a timed pause in seconds, [ ] for overlapping talk, CAPS for emphasis, and a dash for a cut-off word.</w:t>
      </w:r>
    </w:p>
    <w:p>
      <w:pPr>
        <w:pStyle w:val="ListParagraph"/>
        <w:numPr>
          <w:ilvl w:val="0"/>
          <w:numId w:val="6"/>
        </w:numPr>
        <w:spacing w:after="40" w:line="258"/>
      </w:pPr>
      <w:r>
        <w:t xml:space="preserve">Produce an intelligent verbatim transcript of the same exchange: keep every substantive word and the order of turns, but remove fillers (um, uh), repaired false starts, and timing marks.</w:t>
      </w:r>
    </w:p>
    <w:p>
      <w:pPr>
        <w:pStyle w:val="ListParagraph"/>
        <w:numPr>
          <w:ilvl w:val="0"/>
          <w:numId w:val="6"/>
        </w:numPr>
        <w:spacing w:after="40" w:line="258"/>
      </w:pPr>
      <w:r>
        <w:t xml:space="preserve">Produce a clean verbatim transcript: render the same content in fluent, readable sentences, correcting grammar and dropping non-substantive talk, while changing no claim the speaker made.</w:t>
      </w:r>
    </w:p>
    <w:p>
      <w:pPr>
        <w:pStyle w:val="ListParagraph"/>
        <w:numPr>
          <w:ilvl w:val="0"/>
          <w:numId w:val="6"/>
        </w:numPr>
        <w:spacing w:after="40" w:line="258"/>
      </w:pPr>
      <w:r>
        <w:t xml:space="preserve">Write two sentences naming one analytic thing the verbatim version lets you see that the clean version hides, and one situation where clean verbatim is the better choice.</w:t>
      </w:r>
    </w:p>
    <w:p>
      <w:pPr>
        <w:pStyle w:val="ListParagraph"/>
        <w:numPr>
          <w:ilvl w:val="0"/>
          <w:numId w:val="6"/>
        </w:numPr>
        <w:spacing w:after="40" w:line="258"/>
      </w:pPr>
      <w:r>
        <w:t xml:space="preserve">Read the field jottings below, then expand them into a short paragraph of expanded notes that a reader who was not present could follow, separating what you observed from what you inferred.</w:t>
      </w:r>
    </w:p>
    <w:p>
      <w:pPr>
        <w:pStyle w:val="ListParagraph"/>
        <w:numPr>
          <w:ilvl w:val="0"/>
          <w:numId w:val="6"/>
        </w:numPr>
        <w:spacing w:after="40" w:line="258"/>
      </w:pPr>
      <w:r>
        <w:t xml:space="preserve">Write one analytic memo of two to three sentences that names a pattern or question arising from the notes, dated, in the first person.</w:t>
      </w:r>
    </w:p>
    <w:p>
      <w:pPr>
        <w:pStyle w:val="Heading4"/>
      </w:pPr>
      <w:r>
        <w:t xml:space="preserve">Worked example — present to students</w:t>
      </w:r>
    </w:p>
    <w:p>
      <w:pPr>
        <w:spacing w:after="90" w:before="0" w:line="260"/>
      </w:pPr>
      <w:r>
        <w:rPr>
          <w:b/>
          <w:bCs/>
        </w:rPr>
        <w:t xml:space="preserve">Given. </w:t>
      </w:r>
      <w:r>
        <w:t xml:space="preserve">Raw exchange (clinic waiting room study). I = interviewer, R = respondent.
I: So how was the- the appointment today?
R: It was um (1.5) it was FINE I guess, I mean [I waited-]
I:                                              [Mm.]
R: -I waited like an hour but yeah. Fine.</w:t>
      </w:r>
    </w:p>
    <w:p>
      <w:pPr>
        <w:spacing w:after="20" w:before="0" w:line="260"/>
      </w:pPr>
      <w:r>
        <w:rPr>
          <w:b/>
          <w:bCs/>
        </w:rPr>
        <w:t xml:space="preserve">Solution (walk through on the board):</w:t>
      </w:r>
    </w:p>
    <w:p>
      <w:pPr>
        <w:pStyle w:val="ListParagraph"/>
        <w:numPr>
          <w:ilvl w:val="0"/>
          <w:numId w:val="7"/>
        </w:numPr>
        <w:spacing w:after="40" w:line="258"/>
      </w:pPr>
      <w:r>
        <w:t xml:space="preserve">Verbatim: keep the cut-off 'the-', the filler 'um', the timed pause (1.5), the emphasis on FINE, the overlap brackets on 'I waited-' and 'Mm.', and the restart '-I waited'. Nothing is smoothed.</w:t>
      </w:r>
    </w:p>
    <w:p>
      <w:pPr>
        <w:pStyle w:val="ListParagraph"/>
        <w:numPr>
          <w:ilvl w:val="0"/>
          <w:numId w:val="7"/>
        </w:numPr>
        <w:spacing w:after="40" w:line="258"/>
      </w:pPr>
      <w:r>
        <w:t xml:space="preserve">Intelligent verbatim: drop 'um' and the timing, keep the repaired content and turn order: R: 'It was fine I guess, I mean I waited like an hour but yeah. Fine.' The 'Mm.' backchannel may be kept or dropped; keep it if backchannelling matters to your analysis.</w:t>
      </w:r>
    </w:p>
    <w:p>
      <w:pPr>
        <w:pStyle w:val="ListParagraph"/>
        <w:numPr>
          <w:ilvl w:val="0"/>
          <w:numId w:val="7"/>
        </w:numPr>
        <w:spacing w:after="40" w:line="258"/>
      </w:pPr>
      <w:r>
        <w:t xml:space="preserve">Clean verbatim: one fluent sentence that preserves the claim: R: 'It was fine, although I waited about an hour.'</w:t>
      </w:r>
    </w:p>
    <w:p>
      <w:pPr>
        <w:pStyle w:val="ListParagraph"/>
        <w:numPr>
          <w:ilvl w:val="0"/>
          <w:numId w:val="7"/>
        </w:numPr>
        <w:spacing w:after="40" w:line="258"/>
      </w:pPr>
      <w:r>
        <w:t xml:space="preserve">Compare: the hedged 'FINE I guess' with a 1.5 second pause and the contrast with a one-hour wait signal ambivalence. The clean version reads as straightforward satisfaction and loses that tension.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same four lines yield three defensible transcripts. Verbatim preserves how the talk was produced (hesitation, emphasis, overlap), while clean verbatim preserves only what was said, so the choice of convention decides which analyses remain possible.</w:t>
            </w:r>
          </w:p>
        </w:tc>
      </w:tr>
    </w:tbl>
    <w:p>
      <w:pPr>
        <w:pStyle w:val="Heading4"/>
      </w:pPr>
      <w:r>
        <w:t xml:space="preserve">Assignment practice — hand out</w:t>
      </w:r>
    </w:p>
    <w:p>
      <w:pPr>
        <w:spacing w:after="20" w:before="0" w:line="260"/>
      </w:pPr>
      <w:r>
        <w:rPr>
          <w:b/>
          <w:bCs/>
          <w:color w:val="065C50"/>
        </w:rPr>
        <w:t xml:space="preserve">Practice 1: transcribe a new exchange three ways.  </w:t>
      </w:r>
      <w:r>
        <w:t xml:space="preserve">Raw exchange (community food-bank study). I = interviewer, R = respondent.
I: And do you come here every week?
R: Yeah, well- (0.8) mostly. When I can. It's just [the bus-]
I:                                                   [Right.]
R: -the bus is, you know, it's NOT reliable so sometimes I (.) I miss it.</w:t>
      </w:r>
    </w:p>
    <w:p>
      <w:pPr>
        <w:spacing w:after="20" w:before="0" w:line="260"/>
      </w:pPr>
      <w:r>
        <w:rPr>
          <w:b/>
          <w:bCs/>
          <w:i/>
          <w:iCs/>
        </w:rPr>
        <w:t xml:space="preserve">Task.  </w:t>
      </w:r>
      <w:r>
        <w:t xml:space="preserve">Produce three transcripts of this exchange: (a) verbatim with pause, overlap, emphasis, and cut-off notation; (b) intelligent verbatim; (c) clean verbatim. Then write one sentence on what the verbatim version reveals about the respondent's attendance that the clean version flattens.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Verbatim: 'I: And do you come here every week? R: Yeah, well- (0.8) mostly. When I can. It's just [the bus-] I: [Right.] R: -the bus is, you know, it's NOT reliable so sometimes I (.) I miss it.' Intelligent verbatim: 'R: Yeah, well, mostly. When I can. It's just the bus is not reliable, so sometimes I miss it.' (fillers 'you know', timing, and the 'I I' repair removed; backchannel 'Right' optional). Clean verbatim: 'R: Yes, mostly, when I can; the bus is unreliable, so sometimes I miss it.' Analytic point students should reach: the verbatim hedging ('well-', 0.8 pause, 'mostly. When I can.') and the emphasised 'NOT reliable' show that attendance is conditional and frustrating rather than routine; the clean version reads as simple regular attendance. Accept any answer that distinguishes how it was said from what was said.</w:t>
            </w:r>
          </w:p>
        </w:tc>
      </w:tr>
    </w:tbl>
    <w:p>
      <w:pPr>
        <w:spacing w:after="20" w:before="0" w:line="260"/>
      </w:pPr>
      <w:r>
        <w:rPr>
          <w:b/>
          <w:bCs/>
          <w:color w:val="065C50"/>
        </w:rPr>
        <w:t xml:space="preserve">Practice 2: from jottings to expanded notes and a memo.  </w:t>
      </w:r>
      <w:r>
        <w:t xml:space="preserve">Field jottings (same food-bank site, written discreetly during the visit).
- 9:10 line already ~15 ppl, cold, most quiet
- volunteer hands out numbers, calls them slowly
- older man near front keeps checking watch, sighs
- two ppl chatting, laughing, seem to know staff
- sign: 'one box per household': woman asks twice about it</w:t>
      </w:r>
    </w:p>
    <w:p>
      <w:pPr>
        <w:spacing w:after="20" w:before="0" w:line="260"/>
      </w:pPr>
      <w:r>
        <w:rPr>
          <w:b/>
          <w:bCs/>
          <w:i/>
          <w:iCs/>
        </w:rPr>
        <w:t xml:space="preserve">Task.  </w:t>
      </w:r>
      <w:r>
        <w:t xml:space="preserve">Convert these jottings into (a) a short paragraph of expanded notes a non-present reader could follow, clearly separating observation from inference, and (b) one dated analytic memo of two to three sentences naming a pattern or question worth pursuing.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Expanded notes (model): 'At 9:10 about fifteen people were already queueing outside in the cold; most stood quietly. A volunteer distributed numbered tickets and called numbers slowly. An older man near the front repeatedly checked his watch and sighed (observation); he appeared impatient or anxious about the wait (inference). Two other people chatted and laughed with each other and seemed familiar with the staff (inference from their ease). A posted sign read "one box per household," and one woman asked about it twice (observation), suggesting the rule was unclear to her (inference).' Memo (model): 'Memo, [today's date]: Familiarity with the site seems to shape the experience. Regulars who know staff wait comfortably, while a newer or more anxious visitor monitors time and re-asks the household rule. Question to pursue: does prior experience with the food bank reduce the felt difficulty of the visit, and how would I see that in interviews?' Strong answers keep observation and inference visibly separate and write a memo that interprets rather than re-lists the jottings.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transcript, but each convention must be applied consistently and must change no claim the speaker made. Strong work shows three genuinely different transcripts (not one transcript lightly edited), preserves pauses, overlap, emphasis, and cut-offs in the verbatim version, and removes only fillers and repairs in intelligent verbatim. For the field notes, strong work keeps observation and inference visibly separate and writes a memo that interprets (names a pattern or question) rather than summarising. Common errors to correct: smoothing the verbatim transcript so it reads like clean verbatim (the most frequent mistake); deleting substantive content under the banner of 'cleaning'; collapsing observation and inference in the expanded notes; writing a memo that merely restates the jottings. Remind students that the convention is an analytic decision, not a typing style: choosing clean verbatim forecloses conversation-level analysis, so the choice should follow the research question.</w:t>
            </w:r>
          </w:p>
        </w:tc>
      </w:tr>
    </w:tbl>
    <w:p>
      <w:pPr>
        <w:spacing w:after="90" w:before="0" w:line="260"/>
      </w:pPr>
      <w:r>
        <w:rPr>
          <w:b/>
          <w:bCs/>
        </w:rPr>
        <w:t xml:space="preserve">Debrief. </w:t>
      </w:r>
      <w:r>
        <w:t xml:space="preserve">Land the rule in one line: transcription is an analytic act, not a clerical one, because each convention keeps some phenomena and discards others. Surface the trade-off explicitly: verbatim and Jefferson-style notation preserve how talk is produced and suit interaction or discourse analysis; intelligent and clean verbatim preserve content and suit thematic or content analysis at the cost of conversational detail. Tie the field-notes half back to Emerson, Fretz and Shaw: jottings are raw, expanded notes reconstruct the scene for an absent reader, and the analytic memo is where interpretation and the audit trail begin. This is the same disciplined record-keeping students will use on their capstone transcripts.</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4 and read the milestone aloud.</w:t>
      </w:r>
    </w:p>
    <w:p>
      <w:pPr>
        <w:pStyle w:val="ListParagraph"/>
        <w:numPr>
          <w:ilvl w:val="0"/>
          <w:numId w:val="8"/>
        </w:numPr>
        <w:spacing w:after="40" w:line="258"/>
      </w:pPr>
      <w:r>
        <w:t xml:space="preserve">Students build the familiarisation log across six to eight transcripts.</w:t>
      </w:r>
    </w:p>
    <w:p>
      <w:pPr>
        <w:pStyle w:val="ListParagraph"/>
        <w:numPr>
          <w:ilvl w:val="0"/>
          <w:numId w:val="8"/>
        </w:numPr>
        <w:spacing w:after="40" w:line="258"/>
      </w:pPr>
      <w:r>
        <w:t xml:space="preserve">Circulate and ask each student for one cross-transcript pattern they noticed.</w:t>
      </w:r>
    </w:p>
    <w:p>
      <w:pPr>
        <w:pStyle w:val="ListParagraph"/>
        <w:numPr>
          <w:ilvl w:val="0"/>
          <w:numId w:val="8"/>
        </w:numPr>
        <w:spacing w:after="40" w:line="258"/>
      </w:pPr>
      <w:r>
        <w:t xml:space="preserve">Mini-conference prompt: 'What is starting to recur, and what surprised you?'</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4) for the brief and rubric.</w:t>
            </w:r>
          </w:p>
        </w:tc>
      </w:tr>
    </w:tbl>
    <w:p>
      <w:pPr>
        <w:pStyle w:val="Heading3"/>
      </w:pPr>
      <w:r>
        <w:t xml:space="preserve">Exit ticket and preview</w:t>
      </w:r>
    </w:p>
    <w:p>
      <w:pPr>
        <w:spacing w:after="90" w:before="0" w:line="260"/>
      </w:pPr>
      <w:r>
        <w:t xml:space="preserve">Name one pattern recurring across transcripts. Complete the Lesson 5 module before next class.</w:t>
      </w:r>
    </w:p>
    <w:p>
      <w:pPr>
        <w:pStyle w:val="Heading3"/>
      </w:pPr>
      <w:r>
        <w:t xml:space="preserve">Instructor preparation</w:t>
      </w:r>
    </w:p>
    <w:p>
      <w:pPr>
        <w:pStyle w:val="ListParagraph"/>
        <w:numPr>
          <w:ilvl w:val="0"/>
          <w:numId w:val="2"/>
        </w:numPr>
        <w:spacing w:after="40" w:line="258"/>
      </w:pPr>
      <w:r>
        <w:t xml:space="preserve">Observer-participant spectrum slide; method cards; interview excerpts.</w:t>
      </w:r>
    </w:p>
    <w:p>
      <w:pPr>
        <w:pStyle w:val="ListParagraph"/>
        <w:numPr>
          <w:ilvl w:val="0"/>
          <w:numId w:val="2"/>
        </w:numPr>
        <w:spacing w:after="40" w:line="258"/>
      </w:pPr>
      <w:r>
        <w:t xml:space="preserve">The transcripts in Taguette and a familiarisation-log template on Canvas; confirm tools.</w:t>
      </w:r>
    </w:p>
    <w:p>
      <w:pPr>
        <w:pStyle w:val="ListParagraph"/>
        <w:numPr>
          <w:ilvl w:val="0"/>
          <w:numId w:val="2"/>
        </w:numPr>
        <w:spacing w:after="40" w:line="258"/>
      </w:pPr>
      <w:r>
        <w:t xml:space="preserve">Open the term-project document to Week 4.</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841 · Lesson 4 · Qualitative Data Collection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2026-06-16T15:53:17.424Z</dcterms:created>
  <dcterms:modified xsi:type="dcterms:W3CDTF">2026-06-16T15:53:17.424Z</dcterms:modified>
</cp:coreProperties>
</file>

<file path=docProps/custom.xml><?xml version="1.0" encoding="utf-8"?>
<Properties xmlns="http://schemas.openxmlformats.org/officeDocument/2006/custom-properties" xmlns:vt="http://schemas.openxmlformats.org/officeDocument/2006/docPropsVTypes"/>
</file>