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pPr>
      <w:r>
        <w:rPr>
          <w:b/>
          <w:bCs/>
          <w:color w:val="555555"/>
          <w:sz w:val="16"/>
          <w:szCs w:val="16"/>
        </w:rPr>
        <w:t xml:space="preserve">SFU  ·  FACULTY OF HEALTH SCIENCES  ·  COURSE SYLLABUS</w:t>
      </w:r>
    </w:p>
    <w:p>
      <w:pPr>
        <w:pStyle w:val="Title"/>
      </w:pPr>
      <w:r>
        <w:t xml:space="preserve">HSCI 841: Qualitative Research and Analytical Methods</w:t>
      </w:r>
    </w:p>
    <w:p>
      <w:pPr>
        <w:spacing w:after="140"/>
      </w:pPr>
      <w:r>
        <w:rPr>
          <w:b/>
          <w:bCs/>
          <w:color w:val="555555"/>
          <w:sz w:val="20"/>
          <w:szCs w:val="20"/>
        </w:rPr>
        <w:t xml:space="preserve">3 units  ·  Graduate</w:t>
      </w:r>
    </w:p>
    <w:p>
      <w:pPr>
        <w:pStyle w:val="Heading1"/>
      </w:pPr>
      <w:r>
        <w:t xml:space="preserve">Course logistics</w:t>
      </w:r>
    </w:p>
    <w:p>
      <w:pPr>
        <w:spacing w:after="40" w:line="264"/>
      </w:pPr>
      <w:r>
        <w:rPr>
          <w:b/>
          <w:bCs/>
        </w:rPr>
        <w:t xml:space="preserve">Term:  </w:t>
      </w:r>
      <w:r>
        <w:rPr>
          <w:color w:val="555555"/>
        </w:rPr>
        <w:t xml:space="preserve">[Term and year]</w:t>
      </w:r>
    </w:p>
    <w:p>
      <w:pPr>
        <w:spacing w:after="40" w:line="264"/>
      </w:pPr>
      <w:r>
        <w:rPr>
          <w:b/>
          <w:bCs/>
        </w:rPr>
        <w:t xml:space="preserve">Meeting time:  </w:t>
      </w:r>
      <w:r>
        <w:rPr>
          <w:color w:val="555555"/>
        </w:rPr>
        <w:t xml:space="preserve">[Day(s) and time] — one three-hour session per week</w:t>
      </w:r>
    </w:p>
    <w:p>
      <w:pPr>
        <w:spacing w:after="40" w:line="264"/>
      </w:pPr>
      <w:r>
        <w:rPr>
          <w:b/>
          <w:bCs/>
        </w:rPr>
        <w:t xml:space="preserve">Location:  </w:t>
      </w:r>
      <w:r>
        <w:rPr>
          <w:color w:val="555555"/>
        </w:rPr>
        <w:t xml:space="preserve">[Building and room]</w:t>
      </w:r>
    </w:p>
    <w:p>
      <w:pPr>
        <w:spacing w:after="40" w:line="264"/>
      </w:pPr>
      <w:r>
        <w:rPr>
          <w:b/>
          <w:bCs/>
        </w:rPr>
        <w:t xml:space="preserve">Format:  </w:t>
      </w:r>
      <w:r>
        <w:rPr>
          <w:color w:val="555555"/>
        </w:rPr>
        <w:t xml:space="preserve">Flipped classroom; in-person weekly three-hour session</w:t>
      </w:r>
    </w:p>
    <w:p>
      <w:pPr>
        <w:spacing w:after="40" w:line="264"/>
      </w:pPr>
      <w:r>
        <w:rPr>
          <w:b/>
          <w:bCs/>
        </w:rPr>
        <w:t xml:space="preserve">Instructor:  </w:t>
      </w:r>
      <w:r>
        <w:rPr>
          <w:color w:val="555555"/>
        </w:rPr>
        <w:t xml:space="preserve">Dr. Kiffer G. Card</w:t>
      </w:r>
    </w:p>
    <w:p>
      <w:pPr>
        <w:spacing w:after="40" w:line="264"/>
      </w:pPr>
      <w:r>
        <w:rPr>
          <w:b/>
          <w:bCs/>
        </w:rPr>
        <w:t xml:space="preserve">Office / hours:  </w:t>
      </w:r>
      <w:r>
        <w:rPr>
          <w:color w:val="555555"/>
        </w:rPr>
        <w:t xml:space="preserve">[Office] · [Office hours, or 'by appointment']</w:t>
      </w:r>
    </w:p>
    <w:p>
      <w:pPr>
        <w:spacing w:after="40" w:line="264"/>
      </w:pPr>
      <w:r>
        <w:rPr>
          <w:b/>
          <w:bCs/>
        </w:rPr>
        <w:t xml:space="preserve">Email:  </w:t>
      </w:r>
      <w:r>
        <w:rPr>
          <w:color w:val="555555"/>
        </w:rPr>
        <w:t xml:space="preserve">[Instructor email]</w:t>
      </w:r>
    </w:p>
    <w:p>
      <w:pPr>
        <w:spacing w:after="40" w:line="264"/>
      </w:pPr>
      <w:r>
        <w:rPr>
          <w:b/>
          <w:bCs/>
        </w:rPr>
        <w:t xml:space="preserve">Teaching assistant:  </w:t>
      </w:r>
      <w:r>
        <w:rPr>
          <w:color w:val="555555"/>
        </w:rPr>
        <w:t xml:space="preserve">[TA name, email, office hours, if applicable]</w:t>
      </w:r>
    </w:p>
    <w:p>
      <w:pPr>
        <w:spacing w:after="40" w:line="264"/>
      </w:pPr>
      <w:r>
        <w:rPr>
          <w:b/>
          <w:bCs/>
        </w:rPr>
        <w:t xml:space="preserve">Course website:  </w:t>
      </w:r>
      <w:r>
        <w:rPr>
          <w:color w:val="555555"/>
        </w:rPr>
        <w:t xml:space="preserve">Canvas ([course Canvas URL])</w:t>
      </w:r>
    </w:p>
    <w:p>
      <w:pPr>
        <w:pStyle w:val="Heading1"/>
      </w:pPr>
      <w:r>
        <w:t xml:space="preserve">Calendar description</w:t>
      </w:r>
    </w:p>
    <w:p>
      <w:pPr>
        <w:spacing w:after="40" w:before="0" w:line="264"/>
      </w:pPr>
      <w:r>
        <w:rPr>
          <w:b/>
          <w:bCs/>
        </w:rPr>
        <w:t xml:space="preserve">Official SFU Academic Calendar description:</w:t>
      </w:r>
    </w:p>
    <w:p>
      <w:pPr>
        <w:spacing w:after="100" w:before="0" w:line="264"/>
      </w:pPr>
      <w:r>
        <w:rPr>
          <w:i/>
          <w:iCs/>
        </w:rPr>
        <w:t xml:space="preserve">Qualitative research represents an important approach within the health sciences and makes unique contributions to the understanding of health experiences and outcomes, as well as the impacts of public health programs and interventions. This course will provide students with a strong foundation regarding qualitative methods through a comprehensive overview of diverse types of qualitative research and key approaches to analyzing qualitative data. The theoretical and philosophical foundations underlying qualitative approaches will be covered, as will key methods including ethnography and participant observation, qualitative interviews, and focus group discussions. Qualitative research designs, research ethics, and institutional ethics review will be discussed. Instruction regarding the use of qualitative data analysis software will be provided. The course will also highlight the potential of qualitative methods to contribute to interdisciplinary or mixed-methods research focused on health experiences and outcomes. Applied learning opportunities will be emphasized to help prepare students to conduct future qualitative health research.</w:t>
      </w:r>
    </w:p>
    <w:p>
      <w:pPr>
        <w:pStyle w:val="Heading1"/>
      </w:pPr>
      <w:r>
        <w:t xml:space="preserve">Course description and place in the program</w:t>
      </w:r>
    </w:p>
    <w:p>
      <w:pPr>
        <w:spacing w:after="100" w:before="0" w:line="264"/>
      </w:pPr>
      <w:r>
        <w:t xml:space="preserve">HSCI 841 is a graduate methods course for students in the Faculty of Health Sciences graduate programs (MSc, PhD, and MPH). It complements quantitative methods training by preparing students to design and conduct qualitative and mixed-methods health research.</w:t>
      </w:r>
    </w:p>
    <w:p>
      <w:pPr>
        <w:spacing w:after="100" w:before="0" w:line="264"/>
      </w:pPr>
      <w:r>
        <w:t xml:space="preserve">This course uses a flipped-classroom design. The teaching content lives in a set of interactive online lesson modules, one per week. Students work through the assigned module and its narrated walkthrough before class, so that class time is reserved for consolidation rather than first exposure. Each weekly three-hour session is built around active review of the week's key ideas, applied exercises that put those ideas to work, an open question-and-answer clinic for points students found difficult, and a supervised studio block for the term project.</w:t>
      </w:r>
    </w:p>
    <w:p>
      <w:pPr>
        <w:pStyle w:val="Heading1"/>
      </w:pPr>
      <w:r>
        <w:t xml:space="preserve">Prerequisites</w:t>
      </w:r>
    </w:p>
    <w:p>
      <w:pPr>
        <w:spacing w:after="100" w:before="0" w:line="264"/>
      </w:pPr>
      <w:r>
        <w:t xml:space="preserve">Graduate standing in the Faculty of Health Sciences, or permission of the instructor.</w:t>
      </w:r>
    </w:p>
    <w:p>
      <w:pPr>
        <w:pStyle w:val="Heading1"/>
      </w:pPr>
      <w:r>
        <w:t xml:space="preserve">Teaching format and delivery</w:t>
      </w:r>
    </w:p>
    <w:p>
      <w:pPr>
        <w:spacing w:after="100" w:before="0" w:line="264"/>
      </w:pPr>
      <w:r>
        <w:t xml:space="preserve">Before each class, complete the assigned lesson module and its walkthrough, attempt the in-module checks and reflection prompts, and note any points you want raised in the question-and-answer clinic. Come to class ready to apply the material rather than to hear it for the first time.</w:t>
      </w:r>
    </w:p>
    <w:p>
      <w:pPr>
        <w:spacing w:after="100" w:before="0" w:line="264"/>
      </w:pPr>
      <w:r>
        <w:t xml:space="preserve">In class, each session follows the same rhythm: a short retrieval warm-up, co-construction exercises that rebuild the week's key ideas, a question-and-answer clinic on points students found difficult, an applied exercise, and a supervised studio block for the term project. The full weekly plan is set out in the accompanying instructor lesson-plan guide.</w:t>
      </w:r>
    </w:p>
    <w:p>
      <w:pPr>
        <w:spacing w:after="100" w:before="0" w:line="264"/>
      </w:pPr>
      <w:r>
        <w:t xml:space="preserve">Software: R and the Taguette coding application are required and used throughout.</w:t>
      </w:r>
    </w:p>
    <w:p>
      <w:pPr>
        <w:spacing w:after="100" w:before="0" w:line="264"/>
      </w:pPr>
      <w:r>
        <w:t xml:space="preserve">Canvas is used for this course. Lesson modules, narrated walkthroughs, announcements, assignment briefs and rubrics, submission of weekly milestones, and grade return all run through the course Canvas site. Check it before each class.</w:t>
      </w:r>
    </w:p>
    <w:p>
      <w:pPr>
        <w:pStyle w:val="Heading1"/>
      </w:pPr>
      <w:r>
        <w:t xml:space="preserve">Course goals</w:t>
      </w:r>
    </w:p>
    <w:p>
      <w:pPr>
        <w:spacing w:after="60" w:before="0" w:line="264"/>
      </w:pPr>
      <w:r>
        <w:t xml:space="preserve">This course is built around the following overarching goals:</w:t>
      </w:r>
    </w:p>
    <w:p>
      <w:pPr>
        <w:pStyle w:val="ListParagraph"/>
        <w:numPr>
          <w:ilvl w:val="0"/>
          <w:numId w:val="2"/>
        </w:numPr>
        <w:spacing w:after="60" w:line="264"/>
      </w:pPr>
      <w:r>
        <w:t xml:space="preserve">Move from a qualitative research question and an explicit sampling logic to a defensible, transparent analysis.</w:t>
      </w:r>
    </w:p>
    <w:p>
      <w:pPr>
        <w:pStyle w:val="ListParagraph"/>
        <w:numPr>
          <w:ilvl w:val="0"/>
          <w:numId w:val="2"/>
        </w:numPr>
        <w:spacing w:after="60" w:line="264"/>
      </w:pPr>
      <w:r>
        <w:t xml:space="preserve">Build and apply codebooks, themes, and conceptual models that are grounded in text.</w:t>
      </w:r>
    </w:p>
    <w:p>
      <w:pPr>
        <w:pStyle w:val="ListParagraph"/>
        <w:numPr>
          <w:ilvl w:val="0"/>
          <w:numId w:val="2"/>
        </w:numPr>
        <w:spacing w:after="60" w:line="264"/>
      </w:pPr>
      <w:r>
        <w:t xml:space="preserve">Command the major analytic traditions, from grounded theory and content analysis to schema, narrative, discourse, and computational and LLM-assisted approaches.</w:t>
      </w:r>
    </w:p>
    <w:p>
      <w:pPr>
        <w:pStyle w:val="ListParagraph"/>
        <w:numPr>
          <w:ilvl w:val="0"/>
          <w:numId w:val="2"/>
        </w:numPr>
        <w:spacing w:after="60" w:line="264"/>
      </w:pPr>
      <w:r>
        <w:t xml:space="preserve">Report qualitative work with reflexivity, an audit trail, and an honest treatment of fit and uncertainty.</w:t>
      </w:r>
    </w:p>
    <w:p>
      <w:pPr>
        <w:pStyle w:val="Heading1"/>
      </w:pPr>
      <w:r>
        <w:t xml:space="preserve">Learning objectives</w:t>
      </w:r>
    </w:p>
    <w:p>
      <w:pPr>
        <w:spacing w:after="60" w:before="0" w:line="264"/>
      </w:pPr>
      <w:r>
        <w:t xml:space="preserve">By the end of this course, students will be able to:</w:t>
      </w:r>
    </w:p>
    <w:p>
      <w:pPr>
        <w:pStyle w:val="ListParagraph"/>
        <w:numPr>
          <w:ilvl w:val="0"/>
          <w:numId w:val="3"/>
        </w:numPr>
        <w:spacing w:after="60" w:line="264"/>
      </w:pPr>
      <w:r>
        <w:t xml:space="preserve">Define qualitative data analysis and locate it among research goals and paradigms.</w:t>
      </w:r>
    </w:p>
    <w:p>
      <w:pPr>
        <w:pStyle w:val="ListParagraph"/>
        <w:numPr>
          <w:ilvl w:val="0"/>
          <w:numId w:val="3"/>
        </w:numPr>
        <w:spacing w:after="60" w:line="264"/>
      </w:pPr>
      <w:r>
        <w:t xml:space="preserve">Translate a public-health concern into a focused, answerable qualitative research question and defend a sample in writing.</w:t>
      </w:r>
    </w:p>
    <w:p>
      <w:pPr>
        <w:pStyle w:val="ListParagraph"/>
        <w:numPr>
          <w:ilvl w:val="0"/>
          <w:numId w:val="3"/>
        </w:numPr>
        <w:spacing w:after="60" w:line="264"/>
      </w:pPr>
      <w:r>
        <w:t xml:space="preserve">Build a structured codebook and assess intercoder reliability where it is appropriate.</w:t>
      </w:r>
    </w:p>
    <w:p>
      <w:pPr>
        <w:pStyle w:val="ListParagraph"/>
        <w:numPr>
          <w:ilvl w:val="0"/>
          <w:numId w:val="3"/>
        </w:numPr>
        <w:spacing w:after="60" w:line="264"/>
      </w:pPr>
      <w:r>
        <w:t xml:space="preserve">Develop taxonomies, typologies, and conceptual models, and justify them against the data.</w:t>
      </w:r>
    </w:p>
    <w:p>
      <w:pPr>
        <w:pStyle w:val="ListParagraph"/>
        <w:numPr>
          <w:ilvl w:val="0"/>
          <w:numId w:val="3"/>
        </w:numPr>
        <w:spacing w:after="60" w:line="264"/>
      </w:pPr>
      <w:r>
        <w:t xml:space="preserve">Apply grounded theory, content analysis, schema and narrative analysis, and discourse analysis to interview text.</w:t>
      </w:r>
    </w:p>
    <w:p>
      <w:pPr>
        <w:pStyle w:val="ListParagraph"/>
        <w:numPr>
          <w:ilvl w:val="0"/>
          <w:numId w:val="3"/>
        </w:numPr>
        <w:spacing w:after="60" w:line="264"/>
      </w:pPr>
      <w:r>
        <w:t xml:space="preserve">Use computational text analysis and design a calibrated, disclosed workflow for LLM-assisted coding.</w:t>
      </w:r>
    </w:p>
    <w:p>
      <w:pPr>
        <w:pStyle w:val="ListParagraph"/>
        <w:numPr>
          <w:ilvl w:val="0"/>
          <w:numId w:val="3"/>
        </w:numPr>
        <w:spacing w:after="60" w:line="264"/>
      </w:pPr>
      <w:r>
        <w:t xml:space="preserve">Produce a journal-format qualitative analysis paper with a codebook, an audit trail, and a positionality statement.</w:t>
      </w:r>
    </w:p>
    <w:p>
      <w:pPr>
        <w:pStyle w:val="Heading1"/>
      </w:pPr>
      <w:r>
        <w:t xml:space="preserve">Required materials, readings, and technology</w:t>
      </w:r>
    </w:p>
    <w:p>
      <w:pPr>
        <w:spacing w:after="60" w:before="0" w:line="264"/>
      </w:pPr>
      <w:r>
        <w:rPr>
          <w:b/>
          <w:bCs/>
        </w:rPr>
        <w:t xml:space="preserve">Primary text: </w:t>
      </w:r>
      <w:r>
        <w:t xml:space="preserve">Bernard, H. R., Wutich, A. &amp; Ryan, G. W. Analyzing Qualitative Data: Systematic Approaches (SAGE), latest edition.</w:t>
      </w:r>
    </w:p>
    <w:p>
      <w:pPr>
        <w:spacing w:after="60" w:before="0" w:line="264"/>
      </w:pPr>
      <w:r>
        <w:rPr>
          <w:b/>
          <w:bCs/>
        </w:rPr>
        <w:t xml:space="preserve">Required: </w:t>
      </w:r>
      <w:r>
        <w:t xml:space="preserve">The interactive lesson modules and narrated walkthroughs, and the shared course interview dataset, provided through Canvas; R and Taguette.</w:t>
      </w:r>
    </w:p>
    <w:p>
      <w:pPr>
        <w:spacing w:after="60" w:before="0" w:line="264"/>
      </w:pPr>
      <w:r>
        <w:t xml:space="preserve">Software and technology: R and the Taguette coding application are required and used throughout.</w:t>
      </w:r>
    </w:p>
    <w:p>
      <w:pPr>
        <w:pStyle w:val="Heading1"/>
      </w:pPr>
      <w:r>
        <w:t xml:space="preserve">Assessment</w:t>
      </w:r>
    </w:p>
    <w:p>
      <w:pPr>
        <w:spacing w:after="100" w:before="0" w:line="264"/>
      </w:pPr>
      <w:r>
        <w:t xml:space="preserve">Your grade is built from a term-long project, two examinations, and in-class participation. The term project is assembled week by week in the studio block, so it grows with the course rather than arriving at the end of it.</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4980"/>
        <w:gridCol w:w="1400"/>
        <w:gridCol w:w="2980"/>
      </w:tblGrid>
      <w:tr>
        <w:trPr>
          <w:tblHeader/>
        </w:trPr>
        <w:tc>
          <w:tcPr>
            <w:tcW w:type="dxa" w:w="4980"/>
            <w:shd w:fill="0B7B6B" w:val="clear"/>
            <w:tcMar>
              <w:top w:type="dxa" w:w="60"/>
              <w:left w:type="dxa" w:w="110"/>
              <w:bottom w:type="dxa" w:w="60"/>
              <w:right w:type="dxa" w:w="110"/>
            </w:tcMar>
            <w:vAlign w:val="center"/>
          </w:tcPr>
          <w:p>
            <w:pPr>
              <w:spacing w:after="0" w:line="248"/>
            </w:pPr>
            <w:r>
              <w:rPr>
                <w:b/>
                <w:bCs/>
                <w:color w:val="FFFFFF"/>
                <w:sz w:val="20"/>
                <w:szCs w:val="20"/>
              </w:rPr>
              <w:t xml:space="preserve">Component</w:t>
            </w:r>
          </w:p>
        </w:tc>
        <w:tc>
          <w:tcPr>
            <w:tcW w:type="dxa" w:w="1400"/>
            <w:shd w:fill="0B7B6B" w:val="clear"/>
            <w:tcMar>
              <w:top w:type="dxa" w:w="60"/>
              <w:left w:type="dxa" w:w="110"/>
              <w:bottom w:type="dxa" w:w="60"/>
              <w:right w:type="dxa" w:w="110"/>
            </w:tcMar>
            <w:vAlign w:val="center"/>
          </w:tcPr>
          <w:p>
            <w:pPr>
              <w:spacing w:after="0" w:line="248"/>
            </w:pPr>
            <w:r>
              <w:rPr>
                <w:b/>
                <w:bCs/>
                <w:color w:val="FFFFFF"/>
                <w:sz w:val="20"/>
                <w:szCs w:val="20"/>
              </w:rPr>
              <w:t xml:space="preserve">Weight</w:t>
            </w:r>
          </w:p>
        </w:tc>
        <w:tc>
          <w:tcPr>
            <w:tcW w:type="dxa" w:w="2980"/>
            <w:shd w:fill="0B7B6B" w:val="clear"/>
            <w:tcMar>
              <w:top w:type="dxa" w:w="60"/>
              <w:left w:type="dxa" w:w="110"/>
              <w:bottom w:type="dxa" w:w="60"/>
              <w:right w:type="dxa" w:w="110"/>
            </w:tcMar>
            <w:vAlign w:val="center"/>
          </w:tcPr>
          <w:p>
            <w:pPr>
              <w:spacing w:after="0" w:line="248"/>
            </w:pPr>
            <w:r>
              <w:rPr>
                <w:b/>
                <w:bCs/>
                <w:color w:val="FFFFFF"/>
                <w:sz w:val="20"/>
                <w:szCs w:val="20"/>
              </w:rPr>
              <w:t xml:space="preserve">Objectives assessed</w:t>
            </w:r>
          </w:p>
        </w:tc>
      </w:tr>
      <w:tr>
        <w:tc>
          <w:tcPr>
            <w:tcW w:type="dxa" w:w="4980"/>
            <w:tcMar>
              <w:top w:type="dxa" w:w="60"/>
              <w:left w:type="dxa" w:w="110"/>
              <w:bottom w:type="dxa" w:w="60"/>
              <w:right w:type="dxa" w:w="110"/>
            </w:tcMar>
            <w:vAlign w:val="center"/>
          </w:tcPr>
          <w:p>
            <w:pPr>
              <w:spacing w:after="0" w:line="248"/>
            </w:pPr>
            <w:r>
              <w:rPr>
                <w:sz w:val="20"/>
                <w:szCs w:val="20"/>
              </w:rPr>
              <w:t xml:space="preserve">Term project: The Qualitative Analysis Paper and Analytic Portfolio</w:t>
            </w:r>
          </w:p>
        </w:tc>
        <w:tc>
          <w:tcPr>
            <w:tcW w:type="dxa" w:w="1400"/>
            <w:tcMar>
              <w:top w:type="dxa" w:w="60"/>
              <w:left w:type="dxa" w:w="110"/>
              <w:bottom w:type="dxa" w:w="60"/>
              <w:right w:type="dxa" w:w="110"/>
            </w:tcMar>
            <w:vAlign w:val="center"/>
          </w:tcPr>
          <w:p>
            <w:pPr>
              <w:spacing w:after="0" w:line="248"/>
            </w:pPr>
            <w:r>
              <w:rPr>
                <w:sz w:val="20"/>
                <w:szCs w:val="20"/>
              </w:rPr>
              <w:t xml:space="preserve">60%</w:t>
            </w:r>
          </w:p>
        </w:tc>
        <w:tc>
          <w:tcPr>
            <w:tcW w:type="dxa" w:w="2980"/>
            <w:tcMar>
              <w:top w:type="dxa" w:w="60"/>
              <w:left w:type="dxa" w:w="110"/>
              <w:bottom w:type="dxa" w:w="60"/>
              <w:right w:type="dxa" w:w="110"/>
            </w:tcMar>
            <w:vAlign w:val="center"/>
          </w:tcPr>
          <w:p>
            <w:pPr>
              <w:spacing w:after="0" w:line="248"/>
            </w:pPr>
            <w:r>
              <w:rPr>
                <w:sz w:val="20"/>
                <w:szCs w:val="20"/>
              </w:rPr>
              <w:t xml:space="preserve">Objectives 1–7</w:t>
            </w:r>
          </w:p>
        </w:tc>
      </w:tr>
      <w:tr>
        <w:tc>
          <w:tcPr>
            <w:tcW w:type="dxa" w:w="4980"/>
            <w:tcMar>
              <w:top w:type="dxa" w:w="60"/>
              <w:left w:type="dxa" w:w="110"/>
              <w:bottom w:type="dxa" w:w="60"/>
              <w:right w:type="dxa" w:w="110"/>
            </w:tcMar>
            <w:vAlign w:val="center"/>
          </w:tcPr>
          <w:p>
            <w:pPr>
              <w:spacing w:after="0" w:line="248"/>
            </w:pPr>
            <w:r>
              <w:rPr>
                <w:sz w:val="20"/>
                <w:szCs w:val="20"/>
              </w:rPr>
              <w:t xml:space="preserve">Midterm examination (Week 7; Lessons 1–6)</w:t>
            </w:r>
          </w:p>
        </w:tc>
        <w:tc>
          <w:tcPr>
            <w:tcW w:type="dxa" w:w="1400"/>
            <w:tcMar>
              <w:top w:type="dxa" w:w="60"/>
              <w:left w:type="dxa" w:w="110"/>
              <w:bottom w:type="dxa" w:w="60"/>
              <w:right w:type="dxa" w:w="110"/>
            </w:tcMar>
            <w:vAlign w:val="center"/>
          </w:tcPr>
          <w:p>
            <w:pPr>
              <w:spacing w:after="0" w:line="248"/>
            </w:pPr>
            <w:r>
              <w:rPr>
                <w:sz w:val="20"/>
                <w:szCs w:val="20"/>
              </w:rPr>
              <w:t xml:space="preserve">15%</w:t>
            </w:r>
          </w:p>
        </w:tc>
        <w:tc>
          <w:tcPr>
            <w:tcW w:type="dxa" w:w="2980"/>
            <w:tcMar>
              <w:top w:type="dxa" w:w="60"/>
              <w:left w:type="dxa" w:w="110"/>
              <w:bottom w:type="dxa" w:w="60"/>
              <w:right w:type="dxa" w:w="110"/>
            </w:tcMar>
            <w:vAlign w:val="center"/>
          </w:tcPr>
          <w:p>
            <w:pPr>
              <w:spacing w:after="0" w:line="248"/>
            </w:pPr>
            <w:r>
              <w:rPr>
                <w:sz w:val="20"/>
                <w:szCs w:val="20"/>
              </w:rPr>
              <w:t xml:space="preserve">Objectives 1–4</w:t>
            </w:r>
          </w:p>
        </w:tc>
      </w:tr>
      <w:tr>
        <w:tc>
          <w:tcPr>
            <w:tcW w:type="dxa" w:w="4980"/>
            <w:tcMar>
              <w:top w:type="dxa" w:w="60"/>
              <w:left w:type="dxa" w:w="110"/>
              <w:bottom w:type="dxa" w:w="60"/>
              <w:right w:type="dxa" w:w="110"/>
            </w:tcMar>
            <w:vAlign w:val="center"/>
          </w:tcPr>
          <w:p>
            <w:pPr>
              <w:spacing w:after="0" w:line="248"/>
            </w:pPr>
            <w:r>
              <w:rPr>
                <w:sz w:val="20"/>
                <w:szCs w:val="20"/>
              </w:rPr>
              <w:t xml:space="preserve">Final examination (examination period; Lessons 7–12)</w:t>
            </w:r>
          </w:p>
        </w:tc>
        <w:tc>
          <w:tcPr>
            <w:tcW w:type="dxa" w:w="1400"/>
            <w:tcMar>
              <w:top w:type="dxa" w:w="60"/>
              <w:left w:type="dxa" w:w="110"/>
              <w:bottom w:type="dxa" w:w="60"/>
              <w:right w:type="dxa" w:w="110"/>
            </w:tcMar>
            <w:vAlign w:val="center"/>
          </w:tcPr>
          <w:p>
            <w:pPr>
              <w:spacing w:after="0" w:line="248"/>
            </w:pPr>
            <w:r>
              <w:rPr>
                <w:sz w:val="20"/>
                <w:szCs w:val="20"/>
              </w:rPr>
              <w:t xml:space="preserve">20%</w:t>
            </w:r>
          </w:p>
        </w:tc>
        <w:tc>
          <w:tcPr>
            <w:tcW w:type="dxa" w:w="2980"/>
            <w:tcMar>
              <w:top w:type="dxa" w:w="60"/>
              <w:left w:type="dxa" w:w="110"/>
              <w:bottom w:type="dxa" w:w="60"/>
              <w:right w:type="dxa" w:w="110"/>
            </w:tcMar>
            <w:vAlign w:val="center"/>
          </w:tcPr>
          <w:p>
            <w:pPr>
              <w:spacing w:after="0" w:line="248"/>
            </w:pPr>
            <w:r>
              <w:rPr>
                <w:sz w:val="20"/>
                <w:szCs w:val="20"/>
              </w:rPr>
              <w:t xml:space="preserve">Objectives 4–7</w:t>
            </w:r>
          </w:p>
        </w:tc>
      </w:tr>
      <w:tr>
        <w:tc>
          <w:tcPr>
            <w:tcW w:type="dxa" w:w="4980"/>
            <w:tcMar>
              <w:top w:type="dxa" w:w="60"/>
              <w:left w:type="dxa" w:w="110"/>
              <w:bottom w:type="dxa" w:w="60"/>
              <w:right w:type="dxa" w:w="110"/>
            </w:tcMar>
            <w:vAlign w:val="center"/>
          </w:tcPr>
          <w:p>
            <w:pPr>
              <w:spacing w:after="0" w:line="248"/>
            </w:pPr>
            <w:r>
              <w:rPr>
                <w:sz w:val="20"/>
                <w:szCs w:val="20"/>
              </w:rPr>
              <w:t xml:space="preserve">In-class participation and exercises</w:t>
            </w:r>
          </w:p>
        </w:tc>
        <w:tc>
          <w:tcPr>
            <w:tcW w:type="dxa" w:w="1400"/>
            <w:tcMar>
              <w:top w:type="dxa" w:w="60"/>
              <w:left w:type="dxa" w:w="110"/>
              <w:bottom w:type="dxa" w:w="60"/>
              <w:right w:type="dxa" w:w="110"/>
            </w:tcMar>
            <w:vAlign w:val="center"/>
          </w:tcPr>
          <w:p>
            <w:pPr>
              <w:spacing w:after="0" w:line="248"/>
            </w:pPr>
            <w:r>
              <w:rPr>
                <w:sz w:val="20"/>
                <w:szCs w:val="20"/>
              </w:rPr>
              <w:t xml:space="preserve">5%</w:t>
            </w:r>
          </w:p>
        </w:tc>
        <w:tc>
          <w:tcPr>
            <w:tcW w:type="dxa" w:w="2980"/>
            <w:tcMar>
              <w:top w:type="dxa" w:w="60"/>
              <w:left w:type="dxa" w:w="110"/>
              <w:bottom w:type="dxa" w:w="60"/>
              <w:right w:type="dxa" w:w="110"/>
            </w:tcMar>
            <w:vAlign w:val="center"/>
          </w:tcPr>
          <w:p>
            <w:pPr>
              <w:spacing w:after="0" w:line="248"/>
            </w:pPr>
            <w:r>
              <w:rPr>
                <w:sz w:val="20"/>
                <w:szCs w:val="20"/>
              </w:rPr>
              <w:t xml:space="preserve">Objectives 1–7</w:t>
            </w:r>
          </w:p>
        </w:tc>
      </w:tr>
      <w:tr>
        <w:tc>
          <w:tcPr>
            <w:tcW w:type="dxa" w:w="4980"/>
            <w:tcMar>
              <w:top w:type="dxa" w:w="60"/>
              <w:left w:type="dxa" w:w="110"/>
              <w:bottom w:type="dxa" w:w="60"/>
              <w:right w:type="dxa" w:w="110"/>
            </w:tcMar>
            <w:vAlign w:val="center"/>
          </w:tcPr>
          <w:p>
            <w:pPr>
              <w:spacing w:after="0" w:before="0" w:line="264"/>
            </w:pPr>
            <w:r>
              <w:rPr>
                <w:b/>
                <w:bCs/>
              </w:rPr>
              <w:t xml:space="preserve">Total</w:t>
            </w:r>
          </w:p>
        </w:tc>
        <w:tc>
          <w:tcPr>
            <w:tcW w:type="dxa" w:w="1400"/>
            <w:tcMar>
              <w:top w:type="dxa" w:w="60"/>
              <w:left w:type="dxa" w:w="110"/>
              <w:bottom w:type="dxa" w:w="60"/>
              <w:right w:type="dxa" w:w="110"/>
            </w:tcMar>
            <w:vAlign w:val="center"/>
          </w:tcPr>
          <w:p>
            <w:pPr>
              <w:spacing w:after="0" w:before="0" w:line="264"/>
            </w:pPr>
            <w:r>
              <w:rPr>
                <w:b/>
                <w:bCs/>
              </w:rPr>
              <w:t xml:space="preserve">100%</w:t>
            </w:r>
          </w:p>
        </w:tc>
        <w:tc>
          <w:tcPr>
            <w:tcW w:type="dxa" w:w="2980"/>
            <w:tcMar>
              <w:top w:type="dxa" w:w="60"/>
              <w:left w:type="dxa" w:w="110"/>
              <w:bottom w:type="dxa" w:w="60"/>
              <w:right w:type="dxa" w:w="110"/>
            </w:tcMar>
            <w:vAlign w:val="center"/>
          </w:tcPr>
          <w:p>
            <w:pPr>
              <w:spacing w:after="0" w:before="0" w:line="264"/>
            </w:pPr>
            <w:r>
              <w:t xml:space="preserve"/>
            </w:r>
          </w:p>
        </w:tc>
      </w:tr>
    </w:tbl>
    <w:p>
      <w:pPr>
        <w:spacing w:after="100" w:before="80" w:line="264"/>
      </w:pPr>
      <w:r>
        <w:rPr>
          <w:i/>
          <w:iCs/>
          <w:color w:val="555555"/>
          <w:sz w:val="18"/>
          <w:szCs w:val="18"/>
        </w:rPr>
        <w:t xml:space="preserve">Objective numbers refer to the learning objectives listed above. The midterm and final assess the objectives developed in the lessons each one covers; the term project and participation draw on all of them.</w:t>
      </w:r>
    </w:p>
    <w:p>
      <w:pPr>
        <w:pStyle w:val="Heading2"/>
      </w:pPr>
      <w:r>
        <w:t xml:space="preserve">Term project</w:t>
      </w:r>
    </w:p>
    <w:p>
      <w:pPr>
        <w:spacing w:after="100" w:before="0" w:line="264"/>
      </w:pPr>
      <w:r>
        <w:t xml:space="preserve">A 15–25 page qualitative analysis paper based on the shared HSCI 841 dataset: 20 semi-structured interview transcripts on adult experiences of loneliness, collected using the included interview guide. You will submit the paper alongside a complete codebook, an analytic memo log, a concept model, and a reflexivity statement. Students who have access to their own previously collected qualitative data (with appropriate ethics clearance and supervisor approval) may substitute their own dataset; see the alternative-dataset section of this brief.</w:t>
      </w:r>
    </w:p>
    <w:p>
      <w:pPr>
        <w:spacing w:after="60" w:before="0" w:line="264"/>
      </w:pPr>
      <w:r>
        <w:t xml:space="preserve">The term project is worth 60% of the course grade, made up as follows:</w:t>
      </w:r>
    </w:p>
    <w:p>
      <w:pPr>
        <w:pStyle w:val="ListParagraph"/>
        <w:numPr>
          <w:ilvl w:val="0"/>
          <w:numId w:val="2"/>
        </w:numPr>
        <w:spacing w:after="60" w:line="264"/>
      </w:pPr>
      <w:r>
        <w:t xml:space="preserve">Weekly milestones (12 at 2.5% each): 30%</w:t>
      </w:r>
    </w:p>
    <w:p>
      <w:pPr>
        <w:pStyle w:val="ListParagraph"/>
        <w:numPr>
          <w:ilvl w:val="0"/>
          <w:numId w:val="2"/>
        </w:numPr>
        <w:spacing w:after="60" w:line="264"/>
      </w:pPr>
      <w:r>
        <w:t xml:space="preserve">Final qualitative analysis paper and analytic portfolio: 25%</w:t>
      </w:r>
    </w:p>
    <w:p>
      <w:pPr>
        <w:pStyle w:val="ListParagraph"/>
        <w:numPr>
          <w:ilvl w:val="0"/>
          <w:numId w:val="2"/>
        </w:numPr>
        <w:spacing w:after="60" w:line="264"/>
      </w:pPr>
      <w:r>
        <w:t xml:space="preserve">Peer review of one classmate's paper: 5%</w:t>
      </w:r>
    </w:p>
    <w:p>
      <w:pPr>
        <w:spacing w:after="100" w:before="60" w:line="264"/>
      </w:pPr>
      <w:r>
        <w:t xml:space="preserve">A full brief and rubric for every weekly milestone and for the final deliverable is provided in the term-project document on Canvas. Each milestone is graded on completing that week's work on time, grounding claims in named sources, and being clear and honest about uncertainty.</w:t>
      </w:r>
    </w:p>
    <w:p>
      <w:pPr>
        <w:pStyle w:val="Heading2"/>
      </w:pPr>
      <w:r>
        <w:t xml:space="preserve">Examinations</w:t>
      </w:r>
    </w:p>
    <w:p>
      <w:pPr>
        <w:spacing w:after="100" w:before="0" w:line="264"/>
      </w:pPr>
      <w:r>
        <w:rPr>
          <w:b/>
          <w:bCs/>
        </w:rPr>
        <w:t xml:space="preserve">Midterm (15%). </w:t>
      </w:r>
      <w:r>
        <w:t xml:space="preserve">An examination covering Lessons 1 to 6 (foundations of qualitative data analysis; research questions, theory and literature; sampling; data collection; themes and codebooks; and analysis frameworks and conceptual models). It combines short-answer items with an applied coding or critique task, and may be set as a take-home applied paper at the instructor's discretion.</w:t>
      </w:r>
    </w:p>
    <w:p>
      <w:pPr>
        <w:spacing w:after="100" w:before="0" w:line="264"/>
      </w:pPr>
      <w:r>
        <w:rPr>
          <w:b/>
          <w:bCs/>
        </w:rPr>
        <w:t xml:space="preserve">Final (20%). </w:t>
      </w:r>
      <w:r>
        <w:t xml:space="preserve">An examination in the formal examination period covering Lessons 7 to 12 (comparison and grounded theory; content analysis; schema and narrative analysis; discourse analysis; analytic induction, QCA and decision models; and computational and LLM-assisted analysis). It combines applied analysis with method critique, and may be set as a take-home applied paper at the instructor's discretion.</w:t>
      </w:r>
    </w:p>
    <w:p>
      <w:pPr>
        <w:pStyle w:val="Heading2"/>
      </w:pPr>
      <w:r>
        <w:t xml:space="preserve">Participation (5%)</w:t>
      </w:r>
    </w:p>
    <w:p>
      <w:pPr>
        <w:spacing w:after="100" w:before="0" w:line="264"/>
      </w:pPr>
      <w:r>
        <w:t xml:space="preserve">Participation is assessed through the in-class exercises and engagement in the weekly sessions, including the collaborative co-construction activities and the studio. It rewards being present and contributing, not correctness.</w:t>
      </w:r>
    </w:p>
    <w:p>
      <w:pPr>
        <w:pStyle w:val="Heading1"/>
      </w:pPr>
      <w:r>
        <w:t xml:space="preserve">Grading</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100"/>
        <w:gridCol w:w="6260"/>
        <w:gridCol w:w="2000"/>
      </w:tblGrid>
      <w:tr>
        <w:trPr>
          <w:tblHeader/>
        </w:trPr>
        <w:tc>
          <w:tcPr>
            <w:tcW w:type="dxa" w:w="1100"/>
            <w:shd w:fill="0B7B6B" w:val="clear"/>
            <w:tcMar>
              <w:top w:type="dxa" w:w="60"/>
              <w:left w:type="dxa" w:w="110"/>
              <w:bottom w:type="dxa" w:w="60"/>
              <w:right w:type="dxa" w:w="110"/>
            </w:tcMar>
            <w:vAlign w:val="center"/>
          </w:tcPr>
          <w:p>
            <w:pPr>
              <w:spacing w:after="0" w:line="248"/>
            </w:pPr>
            <w:r>
              <w:rPr>
                <w:b/>
                <w:bCs/>
                <w:color w:val="FFFFFF"/>
                <w:sz w:val="20"/>
                <w:szCs w:val="20"/>
              </w:rPr>
              <w:t xml:space="preserve">Letter</w:t>
            </w:r>
          </w:p>
        </w:tc>
        <w:tc>
          <w:tcPr>
            <w:tcW w:type="dxa" w:w="6260"/>
            <w:shd w:fill="0B7B6B" w:val="clear"/>
            <w:tcMar>
              <w:top w:type="dxa" w:w="60"/>
              <w:left w:type="dxa" w:w="110"/>
              <w:bottom w:type="dxa" w:w="60"/>
              <w:right w:type="dxa" w:w="110"/>
            </w:tcMar>
            <w:vAlign w:val="center"/>
          </w:tcPr>
          <w:p>
            <w:pPr>
              <w:spacing w:after="0" w:line="248"/>
            </w:pPr>
            <w:r>
              <w:rPr>
                <w:b/>
                <w:bCs/>
                <w:color w:val="FFFFFF"/>
                <w:sz w:val="20"/>
                <w:szCs w:val="20"/>
              </w:rPr>
              <w:t xml:space="preserve">Description</w:t>
            </w:r>
          </w:p>
        </w:tc>
        <w:tc>
          <w:tcPr>
            <w:tcW w:type="dxa" w:w="2000"/>
            <w:shd w:fill="0B7B6B" w:val="clear"/>
            <w:tcMar>
              <w:top w:type="dxa" w:w="60"/>
              <w:left w:type="dxa" w:w="110"/>
              <w:bottom w:type="dxa" w:w="60"/>
              <w:right w:type="dxa" w:w="110"/>
            </w:tcMar>
            <w:vAlign w:val="center"/>
          </w:tcPr>
          <w:p>
            <w:pPr>
              <w:spacing w:after="0" w:line="248"/>
            </w:pPr>
            <w:r>
              <w:rPr>
                <w:b/>
                <w:bCs/>
                <w:color w:val="FFFFFF"/>
                <w:sz w:val="20"/>
                <w:szCs w:val="20"/>
              </w:rPr>
              <w:t xml:space="preserve">Grade point</w:t>
            </w:r>
          </w:p>
        </w:tc>
      </w:tr>
      <w:tr>
        <w:tc>
          <w:tcPr>
            <w:tcW w:type="dxa" w:w="1100"/>
            <w:tcMar>
              <w:top w:type="dxa" w:w="60"/>
              <w:left w:type="dxa" w:w="110"/>
              <w:bottom w:type="dxa" w:w="60"/>
              <w:right w:type="dxa" w:w="110"/>
            </w:tcMar>
            <w:vAlign w:val="center"/>
          </w:tcPr>
          <w:p>
            <w:pPr>
              <w:spacing w:after="0" w:before="0" w:line="264"/>
            </w:pPr>
            <w:r>
              <w:rPr>
                <w:b/>
                <w:bCs/>
              </w:rPr>
              <w:t xml:space="preserve">A+</w:t>
            </w:r>
          </w:p>
        </w:tc>
        <w:tc>
          <w:tcPr>
            <w:tcW w:type="dxa" w:w="6260"/>
            <w:tcMar>
              <w:top w:type="dxa" w:w="60"/>
              <w:left w:type="dxa" w:w="110"/>
              <w:bottom w:type="dxa" w:w="60"/>
              <w:right w:type="dxa" w:w="110"/>
            </w:tcMar>
            <w:vAlign w:val="center"/>
          </w:tcPr>
          <w:p>
            <w:pPr>
              <w:spacing w:after="0" w:before="0" w:line="264"/>
            </w:pPr>
            <w:r>
              <w:t xml:space="preserve">Excellent / superior performance; work of the highest quality</w:t>
            </w:r>
          </w:p>
        </w:tc>
        <w:tc>
          <w:tcPr>
            <w:tcW w:type="dxa" w:w="2000"/>
            <w:tcMar>
              <w:top w:type="dxa" w:w="60"/>
              <w:left w:type="dxa" w:w="110"/>
              <w:bottom w:type="dxa" w:w="60"/>
              <w:right w:type="dxa" w:w="110"/>
            </w:tcMar>
            <w:vAlign w:val="center"/>
          </w:tcPr>
          <w:p>
            <w:pPr>
              <w:spacing w:after="0" w:before="0" w:line="264"/>
            </w:pPr>
            <w:r>
              <w:t xml:space="preserve">4.33</w:t>
            </w:r>
          </w:p>
        </w:tc>
      </w:tr>
      <w:tr>
        <w:tc>
          <w:tcPr>
            <w:tcW w:type="dxa" w:w="1100"/>
            <w:tcMar>
              <w:top w:type="dxa" w:w="60"/>
              <w:left w:type="dxa" w:w="110"/>
              <w:bottom w:type="dxa" w:w="60"/>
              <w:right w:type="dxa" w:w="110"/>
            </w:tcMar>
            <w:vAlign w:val="center"/>
          </w:tcPr>
          <w:p>
            <w:pPr>
              <w:spacing w:after="0" w:before="0" w:line="264"/>
            </w:pPr>
            <w:r>
              <w:rPr>
                <w:b/>
                <w:bCs/>
              </w:rPr>
              <w:t xml:space="preserve">A</w:t>
            </w:r>
          </w:p>
        </w:tc>
        <w:tc>
          <w:tcPr>
            <w:tcW w:type="dxa" w:w="6260"/>
            <w:tcMar>
              <w:top w:type="dxa" w:w="60"/>
              <w:left w:type="dxa" w:w="110"/>
              <w:bottom w:type="dxa" w:w="60"/>
              <w:right w:type="dxa" w:w="110"/>
            </w:tcMar>
            <w:vAlign w:val="center"/>
          </w:tcPr>
          <w:p>
            <w:pPr>
              <w:spacing w:after="0" w:before="0" w:line="264"/>
            </w:pPr>
            <w:r>
              <w:t xml:space="preserve">Excellent / superior performance in all elements of the course</w:t>
            </w:r>
          </w:p>
        </w:tc>
        <w:tc>
          <w:tcPr>
            <w:tcW w:type="dxa" w:w="2000"/>
            <w:tcMar>
              <w:top w:type="dxa" w:w="60"/>
              <w:left w:type="dxa" w:w="110"/>
              <w:bottom w:type="dxa" w:w="60"/>
              <w:right w:type="dxa" w:w="110"/>
            </w:tcMar>
            <w:vAlign w:val="center"/>
          </w:tcPr>
          <w:p>
            <w:pPr>
              <w:spacing w:after="0" w:before="0" w:line="264"/>
            </w:pPr>
            <w:r>
              <w:t xml:space="preserve">4.00</w:t>
            </w:r>
          </w:p>
        </w:tc>
      </w:tr>
      <w:tr>
        <w:tc>
          <w:tcPr>
            <w:tcW w:type="dxa" w:w="1100"/>
            <w:tcMar>
              <w:top w:type="dxa" w:w="60"/>
              <w:left w:type="dxa" w:w="110"/>
              <w:bottom w:type="dxa" w:w="60"/>
              <w:right w:type="dxa" w:w="110"/>
            </w:tcMar>
            <w:vAlign w:val="center"/>
          </w:tcPr>
          <w:p>
            <w:pPr>
              <w:spacing w:after="0" w:before="0" w:line="264"/>
            </w:pPr>
            <w:r>
              <w:rPr>
                <w:b/>
                <w:bCs/>
              </w:rPr>
              <w:t xml:space="preserve">A-</w:t>
            </w:r>
          </w:p>
        </w:tc>
        <w:tc>
          <w:tcPr>
            <w:tcW w:type="dxa" w:w="6260"/>
            <w:tcMar>
              <w:top w:type="dxa" w:w="60"/>
              <w:left w:type="dxa" w:w="110"/>
              <w:bottom w:type="dxa" w:w="60"/>
              <w:right w:type="dxa" w:w="110"/>
            </w:tcMar>
            <w:vAlign w:val="center"/>
          </w:tcPr>
          <w:p>
            <w:pPr>
              <w:spacing w:after="0" w:before="0" w:line="264"/>
            </w:pPr>
            <w:r>
              <w:t xml:space="preserve">Superior performance in most aspects of the course</w:t>
            </w:r>
          </w:p>
        </w:tc>
        <w:tc>
          <w:tcPr>
            <w:tcW w:type="dxa" w:w="2000"/>
            <w:tcMar>
              <w:top w:type="dxa" w:w="60"/>
              <w:left w:type="dxa" w:w="110"/>
              <w:bottom w:type="dxa" w:w="60"/>
              <w:right w:type="dxa" w:w="110"/>
            </w:tcMar>
            <w:vAlign w:val="center"/>
          </w:tcPr>
          <w:p>
            <w:pPr>
              <w:spacing w:after="0" w:before="0" w:line="264"/>
            </w:pPr>
            <w:r>
              <w:t xml:space="preserve">3.67</w:t>
            </w:r>
          </w:p>
        </w:tc>
      </w:tr>
      <w:tr>
        <w:tc>
          <w:tcPr>
            <w:tcW w:type="dxa" w:w="1100"/>
            <w:tcMar>
              <w:top w:type="dxa" w:w="60"/>
              <w:left w:type="dxa" w:w="110"/>
              <w:bottom w:type="dxa" w:w="60"/>
              <w:right w:type="dxa" w:w="110"/>
            </w:tcMar>
            <w:vAlign w:val="center"/>
          </w:tcPr>
          <w:p>
            <w:pPr>
              <w:spacing w:after="0" w:before="0" w:line="264"/>
            </w:pPr>
            <w:r>
              <w:rPr>
                <w:b/>
                <w:bCs/>
              </w:rPr>
              <w:t xml:space="preserve">B+</w:t>
            </w:r>
          </w:p>
        </w:tc>
        <w:tc>
          <w:tcPr>
            <w:tcW w:type="dxa" w:w="6260"/>
            <w:tcMar>
              <w:top w:type="dxa" w:w="60"/>
              <w:left w:type="dxa" w:w="110"/>
              <w:bottom w:type="dxa" w:w="60"/>
              <w:right w:type="dxa" w:w="110"/>
            </w:tcMar>
            <w:vAlign w:val="center"/>
          </w:tcPr>
          <w:p>
            <w:pPr>
              <w:spacing w:after="0" w:before="0" w:line="264"/>
            </w:pPr>
            <w:r>
              <w:t xml:space="preserve">Good; high-quality performance in all or most elements</w:t>
            </w:r>
          </w:p>
        </w:tc>
        <w:tc>
          <w:tcPr>
            <w:tcW w:type="dxa" w:w="2000"/>
            <w:tcMar>
              <w:top w:type="dxa" w:w="60"/>
              <w:left w:type="dxa" w:w="110"/>
              <w:bottom w:type="dxa" w:w="60"/>
              <w:right w:type="dxa" w:w="110"/>
            </w:tcMar>
            <w:vAlign w:val="center"/>
          </w:tcPr>
          <w:p>
            <w:pPr>
              <w:spacing w:after="0" w:before="0" w:line="264"/>
            </w:pPr>
            <w:r>
              <w:t xml:space="preserve">3.33</w:t>
            </w:r>
          </w:p>
        </w:tc>
      </w:tr>
      <w:tr>
        <w:tc>
          <w:tcPr>
            <w:tcW w:type="dxa" w:w="1100"/>
            <w:tcMar>
              <w:top w:type="dxa" w:w="60"/>
              <w:left w:type="dxa" w:w="110"/>
              <w:bottom w:type="dxa" w:w="60"/>
              <w:right w:type="dxa" w:w="110"/>
            </w:tcMar>
            <w:vAlign w:val="center"/>
          </w:tcPr>
          <w:p>
            <w:pPr>
              <w:spacing w:after="0" w:before="0" w:line="264"/>
            </w:pPr>
            <w:r>
              <w:rPr>
                <w:b/>
                <w:bCs/>
              </w:rPr>
              <w:t xml:space="preserve">B</w:t>
            </w:r>
          </w:p>
        </w:tc>
        <w:tc>
          <w:tcPr>
            <w:tcW w:type="dxa" w:w="6260"/>
            <w:tcMar>
              <w:top w:type="dxa" w:w="60"/>
              <w:left w:type="dxa" w:w="110"/>
              <w:bottom w:type="dxa" w:w="60"/>
              <w:right w:type="dxa" w:w="110"/>
            </w:tcMar>
            <w:vAlign w:val="center"/>
          </w:tcPr>
          <w:p>
            <w:pPr>
              <w:spacing w:after="0" w:before="0" w:line="264"/>
            </w:pPr>
            <w:r>
              <w:t xml:space="preserve">Good; high-quality in some elements, satisfactory in others</w:t>
            </w:r>
          </w:p>
        </w:tc>
        <w:tc>
          <w:tcPr>
            <w:tcW w:type="dxa" w:w="2000"/>
            <w:tcMar>
              <w:top w:type="dxa" w:w="60"/>
              <w:left w:type="dxa" w:w="110"/>
              <w:bottom w:type="dxa" w:w="60"/>
              <w:right w:type="dxa" w:w="110"/>
            </w:tcMar>
            <w:vAlign w:val="center"/>
          </w:tcPr>
          <w:p>
            <w:pPr>
              <w:spacing w:after="0" w:before="0" w:line="264"/>
            </w:pPr>
            <w:r>
              <w:t xml:space="preserve">3.00</w:t>
            </w:r>
          </w:p>
        </w:tc>
      </w:tr>
      <w:tr>
        <w:tc>
          <w:tcPr>
            <w:tcW w:type="dxa" w:w="1100"/>
            <w:tcMar>
              <w:top w:type="dxa" w:w="60"/>
              <w:left w:type="dxa" w:w="110"/>
              <w:bottom w:type="dxa" w:w="60"/>
              <w:right w:type="dxa" w:w="110"/>
            </w:tcMar>
            <w:vAlign w:val="center"/>
          </w:tcPr>
          <w:p>
            <w:pPr>
              <w:spacing w:after="0" w:before="0" w:line="264"/>
            </w:pPr>
            <w:r>
              <w:rPr>
                <w:b/>
                <w:bCs/>
              </w:rPr>
              <w:t xml:space="preserve">B-</w:t>
            </w:r>
          </w:p>
        </w:tc>
        <w:tc>
          <w:tcPr>
            <w:tcW w:type="dxa" w:w="6260"/>
            <w:tcMar>
              <w:top w:type="dxa" w:w="60"/>
              <w:left w:type="dxa" w:w="110"/>
              <w:bottom w:type="dxa" w:w="60"/>
              <w:right w:type="dxa" w:w="110"/>
            </w:tcMar>
            <w:vAlign w:val="center"/>
          </w:tcPr>
          <w:p>
            <w:pPr>
              <w:spacing w:after="0" w:before="0" w:line="264"/>
            </w:pPr>
            <w:r>
              <w:t xml:space="preserve">Satisfactory performance; sufficient learning to continue</w:t>
            </w:r>
          </w:p>
        </w:tc>
        <w:tc>
          <w:tcPr>
            <w:tcW w:type="dxa" w:w="2000"/>
            <w:tcMar>
              <w:top w:type="dxa" w:w="60"/>
              <w:left w:type="dxa" w:w="110"/>
              <w:bottom w:type="dxa" w:w="60"/>
              <w:right w:type="dxa" w:w="110"/>
            </w:tcMar>
            <w:vAlign w:val="center"/>
          </w:tcPr>
          <w:p>
            <w:pPr>
              <w:spacing w:after="0" w:before="0" w:line="264"/>
            </w:pPr>
            <w:r>
              <w:t xml:space="preserve">2.67</w:t>
            </w:r>
          </w:p>
        </w:tc>
      </w:tr>
      <w:tr>
        <w:tc>
          <w:tcPr>
            <w:tcW w:type="dxa" w:w="1100"/>
            <w:tcMar>
              <w:top w:type="dxa" w:w="60"/>
              <w:left w:type="dxa" w:w="110"/>
              <w:bottom w:type="dxa" w:w="60"/>
              <w:right w:type="dxa" w:w="110"/>
            </w:tcMar>
            <w:vAlign w:val="center"/>
          </w:tcPr>
          <w:p>
            <w:pPr>
              <w:spacing w:after="0" w:before="0" w:line="264"/>
            </w:pPr>
            <w:r>
              <w:rPr>
                <w:b/>
                <w:bCs/>
              </w:rPr>
              <w:t xml:space="preserve">C+</w:t>
            </w:r>
          </w:p>
        </w:tc>
        <w:tc>
          <w:tcPr>
            <w:tcW w:type="dxa" w:w="6260"/>
            <w:tcMar>
              <w:top w:type="dxa" w:w="60"/>
              <w:left w:type="dxa" w:w="110"/>
              <w:bottom w:type="dxa" w:w="60"/>
              <w:right w:type="dxa" w:w="110"/>
            </w:tcMar>
            <w:vAlign w:val="center"/>
          </w:tcPr>
          <w:p>
            <w:pPr>
              <w:spacing w:after="0" w:before="0" w:line="264"/>
            </w:pPr>
            <w:r>
              <w:t xml:space="preserve">Satisfactory in most of the course, the remainder substandard</w:t>
            </w:r>
          </w:p>
        </w:tc>
        <w:tc>
          <w:tcPr>
            <w:tcW w:type="dxa" w:w="2000"/>
            <w:tcMar>
              <w:top w:type="dxa" w:w="60"/>
              <w:left w:type="dxa" w:w="110"/>
              <w:bottom w:type="dxa" w:w="60"/>
              <w:right w:type="dxa" w:w="110"/>
            </w:tcMar>
            <w:vAlign w:val="center"/>
          </w:tcPr>
          <w:p>
            <w:pPr>
              <w:spacing w:after="0" w:before="0" w:line="264"/>
            </w:pPr>
            <w:r>
              <w:t xml:space="preserve">2.33</w:t>
            </w:r>
          </w:p>
        </w:tc>
      </w:tr>
      <w:tr>
        <w:tc>
          <w:tcPr>
            <w:tcW w:type="dxa" w:w="1100"/>
            <w:tcMar>
              <w:top w:type="dxa" w:w="60"/>
              <w:left w:type="dxa" w:w="110"/>
              <w:bottom w:type="dxa" w:w="60"/>
              <w:right w:type="dxa" w:w="110"/>
            </w:tcMar>
            <w:vAlign w:val="center"/>
          </w:tcPr>
          <w:p>
            <w:pPr>
              <w:spacing w:after="0" w:before="0" w:line="264"/>
            </w:pPr>
            <w:r>
              <w:rPr>
                <w:b/>
                <w:bCs/>
              </w:rPr>
              <w:t xml:space="preserve">C</w:t>
            </w:r>
          </w:p>
        </w:tc>
        <w:tc>
          <w:tcPr>
            <w:tcW w:type="dxa" w:w="6260"/>
            <w:tcMar>
              <w:top w:type="dxa" w:w="60"/>
              <w:left w:type="dxa" w:w="110"/>
              <w:bottom w:type="dxa" w:w="60"/>
              <w:right w:type="dxa" w:w="110"/>
            </w:tcMar>
            <w:vAlign w:val="center"/>
          </w:tcPr>
          <w:p>
            <w:pPr>
              <w:spacing w:after="0" w:before="0" w:line="264"/>
            </w:pPr>
            <w:r>
              <w:t xml:space="preserve">Some learning, but generally marginal performance</w:t>
            </w:r>
          </w:p>
        </w:tc>
        <w:tc>
          <w:tcPr>
            <w:tcW w:type="dxa" w:w="2000"/>
            <w:tcMar>
              <w:top w:type="dxa" w:w="60"/>
              <w:left w:type="dxa" w:w="110"/>
              <w:bottom w:type="dxa" w:w="60"/>
              <w:right w:type="dxa" w:w="110"/>
            </w:tcMar>
            <w:vAlign w:val="center"/>
          </w:tcPr>
          <w:p>
            <w:pPr>
              <w:spacing w:after="0" w:before="0" w:line="264"/>
            </w:pPr>
            <w:r>
              <w:t xml:space="preserve">2.00</w:t>
            </w:r>
          </w:p>
        </w:tc>
      </w:tr>
      <w:tr>
        <w:tc>
          <w:tcPr>
            <w:tcW w:type="dxa" w:w="1100"/>
            <w:tcMar>
              <w:top w:type="dxa" w:w="60"/>
              <w:left w:type="dxa" w:w="110"/>
              <w:bottom w:type="dxa" w:w="60"/>
              <w:right w:type="dxa" w:w="110"/>
            </w:tcMar>
            <w:vAlign w:val="center"/>
          </w:tcPr>
          <w:p>
            <w:pPr>
              <w:spacing w:after="0" w:before="0" w:line="264"/>
            </w:pPr>
            <w:r>
              <w:rPr>
                <w:b/>
                <w:bCs/>
              </w:rPr>
              <w:t xml:space="preserve">C-</w:t>
            </w:r>
          </w:p>
        </w:tc>
        <w:tc>
          <w:tcPr>
            <w:tcW w:type="dxa" w:w="6260"/>
            <w:tcMar>
              <w:top w:type="dxa" w:w="60"/>
              <w:left w:type="dxa" w:w="110"/>
              <w:bottom w:type="dxa" w:w="60"/>
              <w:right w:type="dxa" w:w="110"/>
            </w:tcMar>
            <w:vAlign w:val="center"/>
          </w:tcPr>
          <w:p>
            <w:pPr>
              <w:spacing w:after="0" w:before="0" w:line="264"/>
            </w:pPr>
            <w:r>
              <w:t xml:space="preserve">Poor; minimal learning and substandard performance</w:t>
            </w:r>
          </w:p>
        </w:tc>
        <w:tc>
          <w:tcPr>
            <w:tcW w:type="dxa" w:w="2000"/>
            <w:tcMar>
              <w:top w:type="dxa" w:w="60"/>
              <w:left w:type="dxa" w:w="110"/>
              <w:bottom w:type="dxa" w:w="60"/>
              <w:right w:type="dxa" w:w="110"/>
            </w:tcMar>
            <w:vAlign w:val="center"/>
          </w:tcPr>
          <w:p>
            <w:pPr>
              <w:spacing w:after="0" w:before="0" w:line="264"/>
            </w:pPr>
            <w:r>
              <w:t xml:space="preserve">1.67</w:t>
            </w:r>
          </w:p>
        </w:tc>
      </w:tr>
      <w:tr>
        <w:tc>
          <w:tcPr>
            <w:tcW w:type="dxa" w:w="1100"/>
            <w:tcMar>
              <w:top w:type="dxa" w:w="60"/>
              <w:left w:type="dxa" w:w="110"/>
              <w:bottom w:type="dxa" w:w="60"/>
              <w:right w:type="dxa" w:w="110"/>
            </w:tcMar>
            <w:vAlign w:val="center"/>
          </w:tcPr>
          <w:p>
            <w:pPr>
              <w:spacing w:after="0" w:before="0" w:line="264"/>
            </w:pPr>
            <w:r>
              <w:rPr>
                <w:b/>
                <w:bCs/>
              </w:rPr>
              <w:t xml:space="preserve">D</w:t>
            </w:r>
          </w:p>
        </w:tc>
        <w:tc>
          <w:tcPr>
            <w:tcW w:type="dxa" w:w="6260"/>
            <w:tcMar>
              <w:top w:type="dxa" w:w="60"/>
              <w:left w:type="dxa" w:w="110"/>
              <w:bottom w:type="dxa" w:w="60"/>
              <w:right w:type="dxa" w:w="110"/>
            </w:tcMar>
            <w:vAlign w:val="center"/>
          </w:tcPr>
          <w:p>
            <w:pPr>
              <w:spacing w:after="0" w:before="0" w:line="264"/>
            </w:pPr>
            <w:r>
              <w:t xml:space="preserve">Poor; minimal learning and low-quality performance</w:t>
            </w:r>
          </w:p>
        </w:tc>
        <w:tc>
          <w:tcPr>
            <w:tcW w:type="dxa" w:w="2000"/>
            <w:tcMar>
              <w:top w:type="dxa" w:w="60"/>
              <w:left w:type="dxa" w:w="110"/>
              <w:bottom w:type="dxa" w:w="60"/>
              <w:right w:type="dxa" w:w="110"/>
            </w:tcMar>
            <w:vAlign w:val="center"/>
          </w:tcPr>
          <w:p>
            <w:pPr>
              <w:spacing w:after="0" w:before="0" w:line="264"/>
            </w:pPr>
            <w:r>
              <w:t xml:space="preserve">1.00</w:t>
            </w:r>
          </w:p>
        </w:tc>
      </w:tr>
      <w:tr>
        <w:tc>
          <w:tcPr>
            <w:tcW w:type="dxa" w:w="1100"/>
            <w:tcMar>
              <w:top w:type="dxa" w:w="60"/>
              <w:left w:type="dxa" w:w="110"/>
              <w:bottom w:type="dxa" w:w="60"/>
              <w:right w:type="dxa" w:w="110"/>
            </w:tcMar>
            <w:vAlign w:val="center"/>
          </w:tcPr>
          <w:p>
            <w:pPr>
              <w:spacing w:after="0" w:before="0" w:line="264"/>
            </w:pPr>
            <w:r>
              <w:rPr>
                <w:b/>
                <w:bCs/>
              </w:rPr>
              <w:t xml:space="preserve">F</w:t>
            </w:r>
          </w:p>
        </w:tc>
        <w:tc>
          <w:tcPr>
            <w:tcW w:type="dxa" w:w="6260"/>
            <w:tcMar>
              <w:top w:type="dxa" w:w="60"/>
              <w:left w:type="dxa" w:w="110"/>
              <w:bottom w:type="dxa" w:w="60"/>
              <w:right w:type="dxa" w:w="110"/>
            </w:tcMar>
            <w:vAlign w:val="center"/>
          </w:tcPr>
          <w:p>
            <w:pPr>
              <w:spacing w:after="0" w:before="0" w:line="264"/>
            </w:pPr>
            <w:r>
              <w:t xml:space="preserve">Failure; complete absence of evidence of learning</w:t>
            </w:r>
          </w:p>
        </w:tc>
        <w:tc>
          <w:tcPr>
            <w:tcW w:type="dxa" w:w="2000"/>
            <w:tcMar>
              <w:top w:type="dxa" w:w="60"/>
              <w:left w:type="dxa" w:w="110"/>
              <w:bottom w:type="dxa" w:w="60"/>
              <w:right w:type="dxa" w:w="110"/>
            </w:tcMar>
            <w:vAlign w:val="center"/>
          </w:tcPr>
          <w:p>
            <w:pPr>
              <w:spacing w:after="0" w:before="0" w:line="264"/>
            </w:pPr>
            <w:r>
              <w:t xml:space="preserve">0.00</w:t>
            </w:r>
          </w:p>
        </w:tc>
      </w:tr>
      <w:tr>
        <w:tc>
          <w:tcPr>
            <w:tcW w:type="dxa" w:w="1100"/>
            <w:tcMar>
              <w:top w:type="dxa" w:w="60"/>
              <w:left w:type="dxa" w:w="110"/>
              <w:bottom w:type="dxa" w:w="60"/>
              <w:right w:type="dxa" w:w="110"/>
            </w:tcMar>
            <w:vAlign w:val="center"/>
          </w:tcPr>
          <w:p>
            <w:pPr>
              <w:spacing w:after="0" w:before="0" w:line="264"/>
            </w:pPr>
            <w:r>
              <w:rPr>
                <w:b/>
                <w:bCs/>
              </w:rPr>
              <w:t xml:space="preserve">N</w:t>
            </w:r>
          </w:p>
        </w:tc>
        <w:tc>
          <w:tcPr>
            <w:tcW w:type="dxa" w:w="6260"/>
            <w:tcMar>
              <w:top w:type="dxa" w:w="60"/>
              <w:left w:type="dxa" w:w="110"/>
              <w:bottom w:type="dxa" w:w="60"/>
              <w:right w:type="dxa" w:w="110"/>
            </w:tcMar>
            <w:vAlign w:val="center"/>
          </w:tcPr>
          <w:p>
            <w:pPr>
              <w:spacing w:after="0" w:before="0" w:line="264"/>
            </w:pPr>
            <w:r>
              <w:t xml:space="preserve">Did not write the final examination or otherwise complete the course</w:t>
            </w:r>
          </w:p>
        </w:tc>
        <w:tc>
          <w:tcPr>
            <w:tcW w:type="dxa" w:w="2000"/>
            <w:tcMar>
              <w:top w:type="dxa" w:w="60"/>
              <w:left w:type="dxa" w:w="110"/>
              <w:bottom w:type="dxa" w:w="60"/>
              <w:right w:type="dxa" w:w="110"/>
            </w:tcMar>
            <w:vAlign w:val="center"/>
          </w:tcPr>
          <w:p>
            <w:pPr>
              <w:spacing w:after="0" w:before="0" w:line="264"/>
            </w:pPr>
            <w:r>
              <w:t xml:space="preserve">0.00</w:t>
            </w:r>
          </w:p>
        </w:tc>
      </w:tr>
    </w:tbl>
    <w:p>
      <w:pPr>
        <w:spacing w:after="100" w:before="80" w:line="264"/>
      </w:pPr>
      <w:r>
        <w:t xml:space="preserve">As a graduate course, grading follows the SFU Graduate General Regulations. Graduate students are expected to maintain a cumulative grade point average of at least 3.00 (B); a grade below B- is treated as marginal and may not satisfy program requirements. Letter grades are assigned against the criteria below rather than to a fixed distribution.</w:t>
      </w:r>
    </w:p>
    <w:p>
      <w:pPr>
        <w:pStyle w:val="Heading2"/>
      </w:pPr>
      <w:r>
        <w:t xml:space="preserve">Grade appeals</w:t>
      </w:r>
    </w:p>
    <w:p>
      <w:pPr>
        <w:spacing w:after="100" w:before="0" w:line="264"/>
      </w:pPr>
      <w:r>
        <w:t xml:space="preserve">Refer to the SFU Calendar for information about appealing a grade. A student who wishes to dispute a grade on an assignment or for the course should write down the details and reason for the appeal, submit that write-up with all relevant paperwork to the instructor, and set up a meeting to discuss it. SFU Policy T20.01 (https://www.sfu.ca/policies/gazette/teaching/t20-01.html) sets out the steps for appealing a grade beyond the level of the instructor.</w:t>
      </w:r>
    </w:p>
    <w:p>
      <w:pPr>
        <w:pStyle w:val="Heading1"/>
      </w:pPr>
      <w:r>
        <w:t xml:space="preserve">Weekly schedule</w:t>
      </w:r>
    </w:p>
    <w:p>
      <w:pPr>
        <w:spacing w:after="80" w:before="0" w:line="264"/>
      </w:pPr>
      <w:r>
        <w:rPr>
          <w:color w:val="555555"/>
          <w:sz w:val="19"/>
          <w:szCs w:val="19"/>
        </w:rPr>
        <w:t xml:space="preserve">One three-hour session per week. Topics may be adjusted as noted in the policies below; the examination timing will not change.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200"/>
        <w:gridCol w:w="3760"/>
        <w:gridCol w:w="2200"/>
        <w:gridCol w:w="2200"/>
      </w:tblGrid>
      <w:tr>
        <w:trPr>
          <w:tblHeader/>
        </w:trPr>
        <w:tc>
          <w:tcPr>
            <w:tcW w:type="dxa" w:w="1200"/>
            <w:shd w:fill="0B7B6B" w:val="clear"/>
            <w:tcMar>
              <w:top w:type="dxa" w:w="60"/>
              <w:left w:type="dxa" w:w="110"/>
              <w:bottom w:type="dxa" w:w="60"/>
              <w:right w:type="dxa" w:w="110"/>
            </w:tcMar>
            <w:vAlign w:val="center"/>
          </w:tcPr>
          <w:p>
            <w:pPr>
              <w:spacing w:after="0" w:line="248"/>
            </w:pPr>
            <w:r>
              <w:rPr>
                <w:b/>
                <w:bCs/>
                <w:color w:val="FFFFFF"/>
                <w:sz w:val="20"/>
                <w:szCs w:val="20"/>
              </w:rPr>
              <w:t xml:space="preserve">Week</w:t>
            </w:r>
          </w:p>
        </w:tc>
        <w:tc>
          <w:tcPr>
            <w:tcW w:type="dxa" w:w="3760"/>
            <w:shd w:fill="0B7B6B" w:val="clear"/>
            <w:tcMar>
              <w:top w:type="dxa" w:w="60"/>
              <w:left w:type="dxa" w:w="110"/>
              <w:bottom w:type="dxa" w:w="60"/>
              <w:right w:type="dxa" w:w="110"/>
            </w:tcMar>
            <w:vAlign w:val="center"/>
          </w:tcPr>
          <w:p>
            <w:pPr>
              <w:spacing w:after="0" w:line="248"/>
            </w:pPr>
            <w:r>
              <w:rPr>
                <w:b/>
                <w:bCs/>
                <w:color w:val="FFFFFF"/>
                <w:sz w:val="20"/>
                <w:szCs w:val="20"/>
              </w:rPr>
              <w:t xml:space="preserve">In-class session</w:t>
            </w:r>
          </w:p>
        </w:tc>
        <w:tc>
          <w:tcPr>
            <w:tcW w:type="dxa" w:w="2200"/>
            <w:shd w:fill="0B7B6B" w:val="clear"/>
            <w:tcMar>
              <w:top w:type="dxa" w:w="60"/>
              <w:left w:type="dxa" w:w="110"/>
              <w:bottom w:type="dxa" w:w="60"/>
              <w:right w:type="dxa" w:w="110"/>
            </w:tcMar>
            <w:vAlign w:val="center"/>
          </w:tcPr>
          <w:p>
            <w:pPr>
              <w:spacing w:after="0" w:line="248"/>
            </w:pPr>
            <w:r>
              <w:rPr>
                <w:b/>
                <w:bCs/>
                <w:color w:val="FFFFFF"/>
                <w:sz w:val="20"/>
                <w:szCs w:val="20"/>
              </w:rPr>
              <w:t xml:space="preserve">Pre-class preparation</w:t>
            </w:r>
          </w:p>
        </w:tc>
        <w:tc>
          <w:tcPr>
            <w:tcW w:type="dxa" w:w="2200"/>
            <w:shd w:fill="0B7B6B" w:val="clear"/>
            <w:tcMar>
              <w:top w:type="dxa" w:w="60"/>
              <w:left w:type="dxa" w:w="110"/>
              <w:bottom w:type="dxa" w:w="60"/>
              <w:right w:type="dxa" w:w="110"/>
            </w:tcMar>
            <w:vAlign w:val="center"/>
          </w:tcPr>
          <w:p>
            <w:pPr>
              <w:spacing w:after="0" w:line="248"/>
            </w:pPr>
            <w:r>
              <w:rPr>
                <w:b/>
                <w:bCs/>
                <w:color w:val="FFFFFF"/>
                <w:sz w:val="20"/>
                <w:szCs w:val="20"/>
              </w:rPr>
              <w:t xml:space="preserve">Term-project milestone</w:t>
            </w:r>
          </w:p>
        </w:tc>
      </w:tr>
      <w:tr>
        <w:tc>
          <w:tcPr>
            <w:tcW w:type="dxa" w:w="1200"/>
            <w:tcMar>
              <w:top w:type="dxa" w:w="60"/>
              <w:left w:type="dxa" w:w="110"/>
              <w:bottom w:type="dxa" w:w="60"/>
              <w:right w:type="dxa" w:w="110"/>
            </w:tcMar>
            <w:vAlign w:val="center"/>
          </w:tcPr>
          <w:p>
            <w:pPr>
              <w:spacing w:after="0" w:line="248"/>
            </w:pPr>
            <w:r>
              <w:rPr>
                <w:sz w:val="20"/>
                <w:szCs w:val="20"/>
              </w:rPr>
              <w:t xml:space="preserve">Week 1</w:t>
            </w:r>
          </w:p>
        </w:tc>
        <w:tc>
          <w:tcPr>
            <w:tcW w:type="dxa" w:w="3760"/>
            <w:tcMar>
              <w:top w:type="dxa" w:w="60"/>
              <w:left w:type="dxa" w:w="110"/>
              <w:bottom w:type="dxa" w:w="60"/>
              <w:right w:type="dxa" w:w="110"/>
            </w:tcMar>
            <w:vAlign w:val="center"/>
          </w:tcPr>
          <w:p>
            <w:pPr>
              <w:spacing w:after="0" w:line="248"/>
            </w:pPr>
            <w:r>
              <w:rPr>
                <w:sz w:val="20"/>
                <w:szCs w:val="20"/>
              </w:rPr>
              <w:t xml:space="preserve">Lesson 1: Foundations of Qualitative Data Analysis</w:t>
            </w:r>
          </w:p>
        </w:tc>
        <w:tc>
          <w:tcPr>
            <w:tcW w:type="dxa" w:w="2200"/>
            <w:tcMar>
              <w:top w:type="dxa" w:w="60"/>
              <w:left w:type="dxa" w:w="110"/>
              <w:bottom w:type="dxa" w:w="60"/>
              <w:right w:type="dxa" w:w="110"/>
            </w:tcMar>
            <w:vAlign w:val="center"/>
          </w:tcPr>
          <w:p>
            <w:pPr>
              <w:spacing w:after="0" w:line="248"/>
            </w:pPr>
            <w:r>
              <w:rPr>
                <w:sz w:val="20"/>
                <w:szCs w:val="20"/>
              </w:rPr>
              <w:t xml:space="preserve">Lesson 1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1 assigned</w:t>
            </w:r>
          </w:p>
        </w:tc>
      </w:tr>
      <w:tr>
        <w:tc>
          <w:tcPr>
            <w:tcW w:type="dxa" w:w="1200"/>
            <w:tcMar>
              <w:top w:type="dxa" w:w="60"/>
              <w:left w:type="dxa" w:w="110"/>
              <w:bottom w:type="dxa" w:w="60"/>
              <w:right w:type="dxa" w:w="110"/>
            </w:tcMar>
            <w:vAlign w:val="center"/>
          </w:tcPr>
          <w:p>
            <w:pPr>
              <w:spacing w:after="0" w:line="248"/>
            </w:pPr>
            <w:r>
              <w:rPr>
                <w:sz w:val="20"/>
                <w:szCs w:val="20"/>
              </w:rPr>
              <w:t xml:space="preserve">Week 2</w:t>
            </w:r>
          </w:p>
        </w:tc>
        <w:tc>
          <w:tcPr>
            <w:tcW w:type="dxa" w:w="3760"/>
            <w:tcMar>
              <w:top w:type="dxa" w:w="60"/>
              <w:left w:type="dxa" w:w="110"/>
              <w:bottom w:type="dxa" w:w="60"/>
              <w:right w:type="dxa" w:w="110"/>
            </w:tcMar>
            <w:vAlign w:val="center"/>
          </w:tcPr>
          <w:p>
            <w:pPr>
              <w:spacing w:after="0" w:line="248"/>
            </w:pPr>
            <w:r>
              <w:rPr>
                <w:sz w:val="20"/>
                <w:szCs w:val="20"/>
              </w:rPr>
              <w:t xml:space="preserve">Lesson 2: Research Questions Theory and Literature</w:t>
            </w:r>
          </w:p>
        </w:tc>
        <w:tc>
          <w:tcPr>
            <w:tcW w:type="dxa" w:w="2200"/>
            <w:tcMar>
              <w:top w:type="dxa" w:w="60"/>
              <w:left w:type="dxa" w:w="110"/>
              <w:bottom w:type="dxa" w:w="60"/>
              <w:right w:type="dxa" w:w="110"/>
            </w:tcMar>
            <w:vAlign w:val="center"/>
          </w:tcPr>
          <w:p>
            <w:pPr>
              <w:spacing w:after="0" w:line="248"/>
            </w:pPr>
            <w:r>
              <w:rPr>
                <w:sz w:val="20"/>
                <w:szCs w:val="20"/>
              </w:rPr>
              <w:t xml:space="preserve">Lesson 2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1 due: Analytic Stance + Positionality Memo</w:t>
            </w:r>
          </w:p>
        </w:tc>
      </w:tr>
      <w:tr>
        <w:tc>
          <w:tcPr>
            <w:tcW w:type="dxa" w:w="1200"/>
            <w:tcMar>
              <w:top w:type="dxa" w:w="60"/>
              <w:left w:type="dxa" w:w="110"/>
              <w:bottom w:type="dxa" w:w="60"/>
              <w:right w:type="dxa" w:w="110"/>
            </w:tcMar>
            <w:vAlign w:val="center"/>
          </w:tcPr>
          <w:p>
            <w:pPr>
              <w:spacing w:after="0" w:line="248"/>
            </w:pPr>
            <w:r>
              <w:rPr>
                <w:sz w:val="20"/>
                <w:szCs w:val="20"/>
              </w:rPr>
              <w:t xml:space="preserve">Week 3</w:t>
            </w:r>
          </w:p>
        </w:tc>
        <w:tc>
          <w:tcPr>
            <w:tcW w:type="dxa" w:w="3760"/>
            <w:tcMar>
              <w:top w:type="dxa" w:w="60"/>
              <w:left w:type="dxa" w:w="110"/>
              <w:bottom w:type="dxa" w:w="60"/>
              <w:right w:type="dxa" w:w="110"/>
            </w:tcMar>
            <w:vAlign w:val="center"/>
          </w:tcPr>
          <w:p>
            <w:pPr>
              <w:spacing w:after="0" w:line="248"/>
            </w:pPr>
            <w:r>
              <w:rPr>
                <w:sz w:val="20"/>
                <w:szCs w:val="20"/>
              </w:rPr>
              <w:t xml:space="preserve">Lesson 3: Sampling in Qualitative Research</w:t>
            </w:r>
          </w:p>
        </w:tc>
        <w:tc>
          <w:tcPr>
            <w:tcW w:type="dxa" w:w="2200"/>
            <w:tcMar>
              <w:top w:type="dxa" w:w="60"/>
              <w:left w:type="dxa" w:w="110"/>
              <w:bottom w:type="dxa" w:w="60"/>
              <w:right w:type="dxa" w:w="110"/>
            </w:tcMar>
            <w:vAlign w:val="center"/>
          </w:tcPr>
          <w:p>
            <w:pPr>
              <w:spacing w:after="0" w:line="248"/>
            </w:pPr>
            <w:r>
              <w:rPr>
                <w:sz w:val="20"/>
                <w:szCs w:val="20"/>
              </w:rPr>
              <w:t xml:space="preserve">Lesson 3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2 due: Research Question + Theoretical Framing</w:t>
            </w:r>
          </w:p>
        </w:tc>
      </w:tr>
      <w:tr>
        <w:tc>
          <w:tcPr>
            <w:tcW w:type="dxa" w:w="1200"/>
            <w:tcMar>
              <w:top w:type="dxa" w:w="60"/>
              <w:left w:type="dxa" w:w="110"/>
              <w:bottom w:type="dxa" w:w="60"/>
              <w:right w:type="dxa" w:w="110"/>
            </w:tcMar>
            <w:vAlign w:val="center"/>
          </w:tcPr>
          <w:p>
            <w:pPr>
              <w:spacing w:after="0" w:line="248"/>
            </w:pPr>
            <w:r>
              <w:rPr>
                <w:sz w:val="20"/>
                <w:szCs w:val="20"/>
              </w:rPr>
              <w:t xml:space="preserve">Week 4</w:t>
            </w:r>
          </w:p>
        </w:tc>
        <w:tc>
          <w:tcPr>
            <w:tcW w:type="dxa" w:w="3760"/>
            <w:tcMar>
              <w:top w:type="dxa" w:w="60"/>
              <w:left w:type="dxa" w:w="110"/>
              <w:bottom w:type="dxa" w:w="60"/>
              <w:right w:type="dxa" w:w="110"/>
            </w:tcMar>
            <w:vAlign w:val="center"/>
          </w:tcPr>
          <w:p>
            <w:pPr>
              <w:spacing w:after="0" w:line="248"/>
            </w:pPr>
            <w:r>
              <w:rPr>
                <w:sz w:val="20"/>
                <w:szCs w:val="20"/>
              </w:rPr>
              <w:t xml:space="preserve">Lesson 4: Qualitative Data Collection</w:t>
            </w:r>
          </w:p>
        </w:tc>
        <w:tc>
          <w:tcPr>
            <w:tcW w:type="dxa" w:w="2200"/>
            <w:tcMar>
              <w:top w:type="dxa" w:w="60"/>
              <w:left w:type="dxa" w:w="110"/>
              <w:bottom w:type="dxa" w:w="60"/>
              <w:right w:type="dxa" w:w="110"/>
            </w:tcMar>
            <w:vAlign w:val="center"/>
          </w:tcPr>
          <w:p>
            <w:pPr>
              <w:spacing w:after="0" w:line="248"/>
            </w:pPr>
            <w:r>
              <w:rPr>
                <w:sz w:val="20"/>
                <w:szCs w:val="20"/>
              </w:rPr>
              <w:t xml:space="preserve">Lesson 4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3 due: Sample Audit + Boundary Memo</w:t>
            </w:r>
          </w:p>
        </w:tc>
      </w:tr>
      <w:tr>
        <w:tc>
          <w:tcPr>
            <w:tcW w:type="dxa" w:w="1200"/>
            <w:tcMar>
              <w:top w:type="dxa" w:w="60"/>
              <w:left w:type="dxa" w:w="110"/>
              <w:bottom w:type="dxa" w:w="60"/>
              <w:right w:type="dxa" w:w="110"/>
            </w:tcMar>
            <w:vAlign w:val="center"/>
          </w:tcPr>
          <w:p>
            <w:pPr>
              <w:spacing w:after="0" w:line="248"/>
            </w:pPr>
            <w:r>
              <w:rPr>
                <w:sz w:val="20"/>
                <w:szCs w:val="20"/>
              </w:rPr>
              <w:t xml:space="preserve">Week 5</w:t>
            </w:r>
          </w:p>
        </w:tc>
        <w:tc>
          <w:tcPr>
            <w:tcW w:type="dxa" w:w="3760"/>
            <w:tcMar>
              <w:top w:type="dxa" w:w="60"/>
              <w:left w:type="dxa" w:w="110"/>
              <w:bottom w:type="dxa" w:w="60"/>
              <w:right w:type="dxa" w:w="110"/>
            </w:tcMar>
            <w:vAlign w:val="center"/>
          </w:tcPr>
          <w:p>
            <w:pPr>
              <w:spacing w:after="0" w:line="248"/>
            </w:pPr>
            <w:r>
              <w:rPr>
                <w:sz w:val="20"/>
                <w:szCs w:val="20"/>
              </w:rPr>
              <w:t xml:space="preserve">Lesson 5: Themes and Codebooks</w:t>
            </w:r>
          </w:p>
        </w:tc>
        <w:tc>
          <w:tcPr>
            <w:tcW w:type="dxa" w:w="2200"/>
            <w:tcMar>
              <w:top w:type="dxa" w:w="60"/>
              <w:left w:type="dxa" w:w="110"/>
              <w:bottom w:type="dxa" w:w="60"/>
              <w:right w:type="dxa" w:w="110"/>
            </w:tcMar>
            <w:vAlign w:val="center"/>
          </w:tcPr>
          <w:p>
            <w:pPr>
              <w:spacing w:after="0" w:line="248"/>
            </w:pPr>
            <w:r>
              <w:rPr>
                <w:sz w:val="20"/>
                <w:szCs w:val="20"/>
              </w:rPr>
              <w:t xml:space="preserve">Lesson 5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4 due: Interview-Guide Critique + Reflexive Memo</w:t>
            </w:r>
          </w:p>
        </w:tc>
      </w:tr>
      <w:tr>
        <w:tc>
          <w:tcPr>
            <w:tcW w:type="dxa" w:w="1200"/>
            <w:tcMar>
              <w:top w:type="dxa" w:w="60"/>
              <w:left w:type="dxa" w:w="110"/>
              <w:bottom w:type="dxa" w:w="60"/>
              <w:right w:type="dxa" w:w="110"/>
            </w:tcMar>
            <w:vAlign w:val="center"/>
          </w:tcPr>
          <w:p>
            <w:pPr>
              <w:spacing w:after="0" w:line="248"/>
            </w:pPr>
            <w:r>
              <w:rPr>
                <w:sz w:val="20"/>
                <w:szCs w:val="20"/>
              </w:rPr>
              <w:t xml:space="preserve">Week 6</w:t>
            </w:r>
          </w:p>
        </w:tc>
        <w:tc>
          <w:tcPr>
            <w:tcW w:type="dxa" w:w="3760"/>
            <w:tcMar>
              <w:top w:type="dxa" w:w="60"/>
              <w:left w:type="dxa" w:w="110"/>
              <w:bottom w:type="dxa" w:w="60"/>
              <w:right w:type="dxa" w:w="110"/>
            </w:tcMar>
            <w:vAlign w:val="center"/>
          </w:tcPr>
          <w:p>
            <w:pPr>
              <w:spacing w:after="0" w:line="248"/>
            </w:pPr>
            <w:r>
              <w:rPr>
                <w:sz w:val="20"/>
                <w:szCs w:val="20"/>
              </w:rPr>
              <w:t xml:space="preserve">Lesson 6: Analysis Frameworks and Conceptual Models</w:t>
            </w:r>
          </w:p>
        </w:tc>
        <w:tc>
          <w:tcPr>
            <w:tcW w:type="dxa" w:w="2200"/>
            <w:tcMar>
              <w:top w:type="dxa" w:w="60"/>
              <w:left w:type="dxa" w:w="110"/>
              <w:bottom w:type="dxa" w:w="60"/>
              <w:right w:type="dxa" w:w="110"/>
            </w:tcMar>
            <w:vAlign w:val="center"/>
          </w:tcPr>
          <w:p>
            <w:pPr>
              <w:spacing w:after="0" w:line="248"/>
            </w:pPr>
            <w:r>
              <w:rPr>
                <w:sz w:val="20"/>
                <w:szCs w:val="20"/>
              </w:rPr>
              <w:t xml:space="preserve">Lesson 6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5 due: Open Codes + Codebook v0.1</w:t>
            </w:r>
          </w:p>
        </w:tc>
      </w:tr>
      <w:tr>
        <w:tc>
          <w:tcPr>
            <w:tcW w:type="dxa" w:w="1200"/>
            <w:shd w:fill="FBE9EC" w:val="clear"/>
            <w:tcMar>
              <w:top w:type="dxa" w:w="60"/>
              <w:left w:type="dxa" w:w="110"/>
              <w:bottom w:type="dxa" w:w="60"/>
              <w:right w:type="dxa" w:w="110"/>
            </w:tcMar>
            <w:vAlign w:val="center"/>
          </w:tcPr>
          <w:p>
            <w:pPr>
              <w:spacing w:after="0" w:before="0" w:line="264"/>
            </w:pPr>
            <w:r>
              <w:rPr>
                <w:b/>
                <w:bCs/>
              </w:rPr>
              <w:t xml:space="preserve">Week 7</w:t>
            </w:r>
          </w:p>
        </w:tc>
        <w:tc>
          <w:tcPr>
            <w:tcW w:type="dxa" w:w="3760"/>
            <w:shd w:fill="FBE9EC" w:val="clear"/>
            <w:tcMar>
              <w:top w:type="dxa" w:w="60"/>
              <w:left w:type="dxa" w:w="110"/>
              <w:bottom w:type="dxa" w:w="60"/>
              <w:right w:type="dxa" w:w="110"/>
            </w:tcMar>
            <w:vAlign w:val="center"/>
          </w:tcPr>
          <w:p>
            <w:pPr>
              <w:spacing w:after="0" w:before="0" w:line="264"/>
            </w:pPr>
            <w:r>
              <w:rPr>
                <w:b/>
                <w:bCs/>
                <w:color w:val="A3002A"/>
              </w:rPr>
              <w:t xml:space="preserve">Midterm examination (Lessons 1–6) + capstone studio</w:t>
            </w:r>
          </w:p>
        </w:tc>
        <w:tc>
          <w:tcPr>
            <w:tcW w:type="dxa" w:w="2200"/>
            <w:shd w:fill="FBE9EC" w:val="clear"/>
            <w:tcMar>
              <w:top w:type="dxa" w:w="60"/>
              <w:left w:type="dxa" w:w="110"/>
              <w:bottom w:type="dxa" w:w="60"/>
              <w:right w:type="dxa" w:w="110"/>
            </w:tcMar>
            <w:vAlign w:val="center"/>
          </w:tcPr>
          <w:p>
            <w:pPr>
              <w:spacing w:after="0" w:before="0" w:line="264"/>
            </w:pPr>
            <w:r>
              <w:t xml:space="preserve">Review Lessons 1–6</w:t>
            </w:r>
          </w:p>
        </w:tc>
        <w:tc>
          <w:tcPr>
            <w:tcW w:type="dxa" w:w="2200"/>
            <w:shd w:fill="FBE9EC" w:val="clear"/>
            <w:tcMar>
              <w:top w:type="dxa" w:w="60"/>
              <w:left w:type="dxa" w:w="110"/>
              <w:bottom w:type="dxa" w:w="60"/>
              <w:right w:type="dxa" w:w="110"/>
            </w:tcMar>
            <w:vAlign w:val="center"/>
          </w:tcPr>
          <w:p>
            <w:pPr>
              <w:spacing w:after="0" w:before="0" w:line="264"/>
            </w:pPr>
            <w:r>
              <w:t xml:space="preserve">Milestone 6 due: Framework Analysis Matrix + Concept Model v0.1</w:t>
            </w:r>
          </w:p>
        </w:tc>
      </w:tr>
      <w:tr>
        <w:tc>
          <w:tcPr>
            <w:tcW w:type="dxa" w:w="1200"/>
            <w:tcMar>
              <w:top w:type="dxa" w:w="60"/>
              <w:left w:type="dxa" w:w="110"/>
              <w:bottom w:type="dxa" w:w="60"/>
              <w:right w:type="dxa" w:w="110"/>
            </w:tcMar>
            <w:vAlign w:val="center"/>
          </w:tcPr>
          <w:p>
            <w:pPr>
              <w:spacing w:after="0" w:line="248"/>
            </w:pPr>
            <w:r>
              <w:rPr>
                <w:sz w:val="20"/>
                <w:szCs w:val="20"/>
              </w:rPr>
              <w:t xml:space="preserve">Week 8</w:t>
            </w:r>
          </w:p>
        </w:tc>
        <w:tc>
          <w:tcPr>
            <w:tcW w:type="dxa" w:w="3760"/>
            <w:tcMar>
              <w:top w:type="dxa" w:w="60"/>
              <w:left w:type="dxa" w:w="110"/>
              <w:bottom w:type="dxa" w:w="60"/>
              <w:right w:type="dxa" w:w="110"/>
            </w:tcMar>
            <w:vAlign w:val="center"/>
          </w:tcPr>
          <w:p>
            <w:pPr>
              <w:spacing w:after="0" w:line="248"/>
            </w:pPr>
            <w:r>
              <w:rPr>
                <w:sz w:val="20"/>
                <w:szCs w:val="20"/>
              </w:rPr>
              <w:t xml:space="preserve">Lesson 7: Comparing Variables and Grounded Theory</w:t>
            </w:r>
          </w:p>
        </w:tc>
        <w:tc>
          <w:tcPr>
            <w:tcW w:type="dxa" w:w="2200"/>
            <w:tcMar>
              <w:top w:type="dxa" w:w="60"/>
              <w:left w:type="dxa" w:w="110"/>
              <w:bottom w:type="dxa" w:w="60"/>
              <w:right w:type="dxa" w:w="110"/>
            </w:tcMar>
            <w:vAlign w:val="center"/>
          </w:tcPr>
          <w:p>
            <w:pPr>
              <w:spacing w:after="0" w:line="248"/>
            </w:pPr>
            <w:r>
              <w:rPr>
                <w:sz w:val="20"/>
                <w:szCs w:val="20"/>
              </w:rPr>
              <w:t xml:space="preserve">Lesson 7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7 in progress</w:t>
            </w:r>
          </w:p>
        </w:tc>
      </w:tr>
      <w:tr>
        <w:tc>
          <w:tcPr>
            <w:tcW w:type="dxa" w:w="1200"/>
            <w:tcMar>
              <w:top w:type="dxa" w:w="60"/>
              <w:left w:type="dxa" w:w="110"/>
              <w:bottom w:type="dxa" w:w="60"/>
              <w:right w:type="dxa" w:w="110"/>
            </w:tcMar>
            <w:vAlign w:val="center"/>
          </w:tcPr>
          <w:p>
            <w:pPr>
              <w:spacing w:after="0" w:line="248"/>
            </w:pPr>
            <w:r>
              <w:rPr>
                <w:sz w:val="20"/>
                <w:szCs w:val="20"/>
              </w:rPr>
              <w:t xml:space="preserve">Week 9</w:t>
            </w:r>
          </w:p>
        </w:tc>
        <w:tc>
          <w:tcPr>
            <w:tcW w:type="dxa" w:w="3760"/>
            <w:tcMar>
              <w:top w:type="dxa" w:w="60"/>
              <w:left w:type="dxa" w:w="110"/>
              <w:bottom w:type="dxa" w:w="60"/>
              <w:right w:type="dxa" w:w="110"/>
            </w:tcMar>
            <w:vAlign w:val="center"/>
          </w:tcPr>
          <w:p>
            <w:pPr>
              <w:spacing w:after="0" w:line="248"/>
            </w:pPr>
            <w:r>
              <w:rPr>
                <w:sz w:val="20"/>
                <w:szCs w:val="20"/>
              </w:rPr>
              <w:t xml:space="preserve">Lesson 8: Content Analysis</w:t>
            </w:r>
          </w:p>
        </w:tc>
        <w:tc>
          <w:tcPr>
            <w:tcW w:type="dxa" w:w="2200"/>
            <w:tcMar>
              <w:top w:type="dxa" w:w="60"/>
              <w:left w:type="dxa" w:w="110"/>
              <w:bottom w:type="dxa" w:w="60"/>
              <w:right w:type="dxa" w:w="110"/>
            </w:tcMar>
            <w:vAlign w:val="center"/>
          </w:tcPr>
          <w:p>
            <w:pPr>
              <w:spacing w:after="0" w:line="248"/>
            </w:pPr>
            <w:r>
              <w:rPr>
                <w:sz w:val="20"/>
                <w:szCs w:val="20"/>
              </w:rPr>
              <w:t xml:space="preserve">Lesson 8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7 due: Constant-Comparison Memo</w:t>
            </w:r>
          </w:p>
        </w:tc>
      </w:tr>
      <w:tr>
        <w:tc>
          <w:tcPr>
            <w:tcW w:type="dxa" w:w="1200"/>
            <w:tcMar>
              <w:top w:type="dxa" w:w="60"/>
              <w:left w:type="dxa" w:w="110"/>
              <w:bottom w:type="dxa" w:w="60"/>
              <w:right w:type="dxa" w:w="110"/>
            </w:tcMar>
            <w:vAlign w:val="center"/>
          </w:tcPr>
          <w:p>
            <w:pPr>
              <w:spacing w:after="0" w:line="248"/>
            </w:pPr>
            <w:r>
              <w:rPr>
                <w:sz w:val="20"/>
                <w:szCs w:val="20"/>
              </w:rPr>
              <w:t xml:space="preserve">Week 10</w:t>
            </w:r>
          </w:p>
        </w:tc>
        <w:tc>
          <w:tcPr>
            <w:tcW w:type="dxa" w:w="3760"/>
            <w:tcMar>
              <w:top w:type="dxa" w:w="60"/>
              <w:left w:type="dxa" w:w="110"/>
              <w:bottom w:type="dxa" w:w="60"/>
              <w:right w:type="dxa" w:w="110"/>
            </w:tcMar>
            <w:vAlign w:val="center"/>
          </w:tcPr>
          <w:p>
            <w:pPr>
              <w:spacing w:after="0" w:line="248"/>
            </w:pPr>
            <w:r>
              <w:rPr>
                <w:sz w:val="20"/>
                <w:szCs w:val="20"/>
              </w:rPr>
              <w:t xml:space="preserve">Lesson 9: Schema and Narrative Analysis</w:t>
            </w:r>
          </w:p>
        </w:tc>
        <w:tc>
          <w:tcPr>
            <w:tcW w:type="dxa" w:w="2200"/>
            <w:tcMar>
              <w:top w:type="dxa" w:w="60"/>
              <w:left w:type="dxa" w:w="110"/>
              <w:bottom w:type="dxa" w:w="60"/>
              <w:right w:type="dxa" w:w="110"/>
            </w:tcMar>
            <w:vAlign w:val="center"/>
          </w:tcPr>
          <w:p>
            <w:pPr>
              <w:spacing w:after="0" w:line="248"/>
            </w:pPr>
            <w:r>
              <w:rPr>
                <w:sz w:val="20"/>
                <w:szCs w:val="20"/>
              </w:rPr>
              <w:t xml:space="preserve">Lesson 9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8 due: Content Analysis: Counts &amp; Co-occurrence</w:t>
            </w:r>
          </w:p>
        </w:tc>
      </w:tr>
      <w:tr>
        <w:tc>
          <w:tcPr>
            <w:tcW w:type="dxa" w:w="1200"/>
            <w:tcMar>
              <w:top w:type="dxa" w:w="60"/>
              <w:left w:type="dxa" w:w="110"/>
              <w:bottom w:type="dxa" w:w="60"/>
              <w:right w:type="dxa" w:w="110"/>
            </w:tcMar>
            <w:vAlign w:val="center"/>
          </w:tcPr>
          <w:p>
            <w:pPr>
              <w:spacing w:after="0" w:line="248"/>
            </w:pPr>
            <w:r>
              <w:rPr>
                <w:sz w:val="20"/>
                <w:szCs w:val="20"/>
              </w:rPr>
              <w:t xml:space="preserve">Week 11</w:t>
            </w:r>
          </w:p>
        </w:tc>
        <w:tc>
          <w:tcPr>
            <w:tcW w:type="dxa" w:w="3760"/>
            <w:tcMar>
              <w:top w:type="dxa" w:w="60"/>
              <w:left w:type="dxa" w:w="110"/>
              <w:bottom w:type="dxa" w:w="60"/>
              <w:right w:type="dxa" w:w="110"/>
            </w:tcMar>
            <w:vAlign w:val="center"/>
          </w:tcPr>
          <w:p>
            <w:pPr>
              <w:spacing w:after="0" w:line="248"/>
            </w:pPr>
            <w:r>
              <w:rPr>
                <w:sz w:val="20"/>
                <w:szCs w:val="20"/>
              </w:rPr>
              <w:t xml:space="preserve">Lesson 10: Discourse Analysis</w:t>
            </w:r>
          </w:p>
        </w:tc>
        <w:tc>
          <w:tcPr>
            <w:tcW w:type="dxa" w:w="2200"/>
            <w:tcMar>
              <w:top w:type="dxa" w:w="60"/>
              <w:left w:type="dxa" w:w="110"/>
              <w:bottom w:type="dxa" w:w="60"/>
              <w:right w:type="dxa" w:w="110"/>
            </w:tcMar>
            <w:vAlign w:val="center"/>
          </w:tcPr>
          <w:p>
            <w:pPr>
              <w:spacing w:after="0" w:line="248"/>
            </w:pPr>
            <w:r>
              <w:rPr>
                <w:sz w:val="20"/>
                <w:szCs w:val="20"/>
              </w:rPr>
              <w:t xml:space="preserve">Lesson 10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9 due: Schema &amp; Narrative Analysis (2–3 cases)</w:t>
            </w:r>
          </w:p>
        </w:tc>
      </w:tr>
      <w:tr>
        <w:tc>
          <w:tcPr>
            <w:tcW w:type="dxa" w:w="1200"/>
            <w:tcMar>
              <w:top w:type="dxa" w:w="60"/>
              <w:left w:type="dxa" w:w="110"/>
              <w:bottom w:type="dxa" w:w="60"/>
              <w:right w:type="dxa" w:w="110"/>
            </w:tcMar>
            <w:vAlign w:val="center"/>
          </w:tcPr>
          <w:p>
            <w:pPr>
              <w:spacing w:after="0" w:line="248"/>
            </w:pPr>
            <w:r>
              <w:rPr>
                <w:sz w:val="20"/>
                <w:szCs w:val="20"/>
              </w:rPr>
              <w:t xml:space="preserve">Week 12</w:t>
            </w:r>
          </w:p>
        </w:tc>
        <w:tc>
          <w:tcPr>
            <w:tcW w:type="dxa" w:w="3760"/>
            <w:tcMar>
              <w:top w:type="dxa" w:w="60"/>
              <w:left w:type="dxa" w:w="110"/>
              <w:bottom w:type="dxa" w:w="60"/>
              <w:right w:type="dxa" w:w="110"/>
            </w:tcMar>
            <w:vAlign w:val="center"/>
          </w:tcPr>
          <w:p>
            <w:pPr>
              <w:spacing w:after="0" w:line="248"/>
            </w:pPr>
            <w:r>
              <w:rPr>
                <w:sz w:val="20"/>
                <w:szCs w:val="20"/>
              </w:rPr>
              <w:t xml:space="preserve">Lesson 11: Analytic Induction QCA and Decision Models</w:t>
            </w:r>
          </w:p>
        </w:tc>
        <w:tc>
          <w:tcPr>
            <w:tcW w:type="dxa" w:w="2200"/>
            <w:tcMar>
              <w:top w:type="dxa" w:w="60"/>
              <w:left w:type="dxa" w:w="110"/>
              <w:bottom w:type="dxa" w:w="60"/>
              <w:right w:type="dxa" w:w="110"/>
            </w:tcMar>
            <w:vAlign w:val="center"/>
          </w:tcPr>
          <w:p>
            <w:pPr>
              <w:spacing w:after="0" w:line="248"/>
            </w:pPr>
            <w:r>
              <w:rPr>
                <w:sz w:val="20"/>
                <w:szCs w:val="20"/>
              </w:rPr>
              <w:t xml:space="preserve">Lesson 11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10 due: Discourse Audit</w:t>
            </w:r>
          </w:p>
        </w:tc>
      </w:tr>
      <w:tr>
        <w:tc>
          <w:tcPr>
            <w:tcW w:type="dxa" w:w="1200"/>
            <w:tcMar>
              <w:top w:type="dxa" w:w="60"/>
              <w:left w:type="dxa" w:w="110"/>
              <w:bottom w:type="dxa" w:w="60"/>
              <w:right w:type="dxa" w:w="110"/>
            </w:tcMar>
            <w:vAlign w:val="center"/>
          </w:tcPr>
          <w:p>
            <w:pPr>
              <w:spacing w:after="0" w:line="248"/>
            </w:pPr>
            <w:r>
              <w:rPr>
                <w:sz w:val="20"/>
                <w:szCs w:val="20"/>
              </w:rPr>
              <w:t xml:space="preserve">Week 13</w:t>
            </w:r>
          </w:p>
        </w:tc>
        <w:tc>
          <w:tcPr>
            <w:tcW w:type="dxa" w:w="3760"/>
            <w:tcMar>
              <w:top w:type="dxa" w:w="60"/>
              <w:left w:type="dxa" w:w="110"/>
              <w:bottom w:type="dxa" w:w="60"/>
              <w:right w:type="dxa" w:w="110"/>
            </w:tcMar>
            <w:vAlign w:val="center"/>
          </w:tcPr>
          <w:p>
            <w:pPr>
              <w:spacing w:after="0" w:line="248"/>
            </w:pPr>
            <w:r>
              <w:rPr>
                <w:sz w:val="20"/>
                <w:szCs w:val="20"/>
              </w:rPr>
              <w:t xml:space="preserve">Lesson 12: Computational Text and LLM Analysis</w:t>
            </w:r>
          </w:p>
        </w:tc>
        <w:tc>
          <w:tcPr>
            <w:tcW w:type="dxa" w:w="2200"/>
            <w:tcMar>
              <w:top w:type="dxa" w:w="60"/>
              <w:left w:type="dxa" w:w="110"/>
              <w:bottom w:type="dxa" w:w="60"/>
              <w:right w:type="dxa" w:w="110"/>
            </w:tcMar>
            <w:vAlign w:val="center"/>
          </w:tcPr>
          <w:p>
            <w:pPr>
              <w:spacing w:after="0" w:line="248"/>
            </w:pPr>
            <w:r>
              <w:rPr>
                <w:sz w:val="20"/>
                <w:szCs w:val="20"/>
              </w:rPr>
              <w:t xml:space="preserve">Lesson 12 module + walkthrough</w:t>
            </w:r>
          </w:p>
        </w:tc>
        <w:tc>
          <w:tcPr>
            <w:tcW w:type="dxa" w:w="2200"/>
            <w:tcMar>
              <w:top w:type="dxa" w:w="60"/>
              <w:left w:type="dxa" w:w="110"/>
              <w:bottom w:type="dxa" w:w="60"/>
              <w:right w:type="dxa" w:w="110"/>
            </w:tcMar>
            <w:vAlign w:val="center"/>
          </w:tcPr>
          <w:p>
            <w:pPr>
              <w:spacing w:after="0" w:line="248"/>
            </w:pPr>
            <w:r>
              <w:rPr>
                <w:sz w:val="20"/>
                <w:szCs w:val="20"/>
              </w:rPr>
              <w:t xml:space="preserve">Milestone 11 due: Analytic Induction / Negative-Case + Mini-QCA</w:t>
            </w:r>
          </w:p>
        </w:tc>
      </w:tr>
      <w:tr>
        <w:tc>
          <w:tcPr>
            <w:tcW w:type="dxa" w:w="1200"/>
            <w:shd w:fill="FBE9EC" w:val="clear"/>
            <w:tcMar>
              <w:top w:type="dxa" w:w="60"/>
              <w:left w:type="dxa" w:w="110"/>
              <w:bottom w:type="dxa" w:w="60"/>
              <w:right w:type="dxa" w:w="110"/>
            </w:tcMar>
            <w:vAlign w:val="center"/>
          </w:tcPr>
          <w:p>
            <w:pPr>
              <w:spacing w:after="0" w:before="0" w:line="264"/>
            </w:pPr>
            <w:r>
              <w:rPr>
                <w:b/>
                <w:bCs/>
              </w:rPr>
              <w:t xml:space="preserve">Exam period</w:t>
            </w:r>
          </w:p>
        </w:tc>
        <w:tc>
          <w:tcPr>
            <w:tcW w:type="dxa" w:w="3760"/>
            <w:shd w:fill="FBE9EC" w:val="clear"/>
            <w:tcMar>
              <w:top w:type="dxa" w:w="60"/>
              <w:left w:type="dxa" w:w="110"/>
              <w:bottom w:type="dxa" w:w="60"/>
              <w:right w:type="dxa" w:w="110"/>
            </w:tcMar>
            <w:vAlign w:val="center"/>
          </w:tcPr>
          <w:p>
            <w:pPr>
              <w:spacing w:after="0" w:before="0" w:line="264"/>
            </w:pPr>
            <w:r>
              <w:rPr>
                <w:b/>
                <w:bCs/>
                <w:color w:val="A3002A"/>
              </w:rPr>
              <w:t xml:space="preserve">Final examination (Lessons 7–12)</w:t>
            </w:r>
          </w:p>
        </w:tc>
        <w:tc>
          <w:tcPr>
            <w:tcW w:type="dxa" w:w="2200"/>
            <w:shd w:fill="FBE9EC" w:val="clear"/>
            <w:tcMar>
              <w:top w:type="dxa" w:w="60"/>
              <w:left w:type="dxa" w:w="110"/>
              <w:bottom w:type="dxa" w:w="60"/>
              <w:right w:type="dxa" w:w="110"/>
            </w:tcMar>
            <w:vAlign w:val="center"/>
          </w:tcPr>
          <w:p>
            <w:pPr>
              <w:spacing w:after="0" w:before="0" w:line="264"/>
            </w:pPr>
            <w:r>
              <w:t xml:space="preserve">Review Lessons 7–12</w:t>
            </w:r>
          </w:p>
        </w:tc>
        <w:tc>
          <w:tcPr>
            <w:tcW w:type="dxa" w:w="2200"/>
            <w:shd w:fill="FBE9EC" w:val="clear"/>
            <w:tcMar>
              <w:top w:type="dxa" w:w="60"/>
              <w:left w:type="dxa" w:w="110"/>
              <w:bottom w:type="dxa" w:w="60"/>
              <w:right w:type="dxa" w:w="110"/>
            </w:tcMar>
            <w:vAlign w:val="center"/>
          </w:tcPr>
          <w:p>
            <w:pPr>
              <w:spacing w:after="0" w:before="0" w:line="264"/>
            </w:pPr>
            <w:r>
              <w:t xml:space="preserve">Final The Qualitative Analysis Paper and Analytic Portfolio + peer review due</w:t>
            </w:r>
          </w:p>
        </w:tc>
      </w:tr>
    </w:tbl>
    <w:p>
      <w:pPr>
        <w:pStyle w:val="Heading1"/>
      </w:pPr>
      <w:r>
        <w:t xml:space="preserve">Course policies</w:t>
      </w:r>
    </w:p>
    <w:p>
      <w:pPr>
        <w:pStyle w:val="Heading2"/>
      </w:pPr>
      <w:r>
        <w:t xml:space="preserve">Late work</w:t>
      </w:r>
    </w:p>
    <w:p>
      <w:pPr>
        <w:spacing w:after="100" w:before="0" w:line="264"/>
      </w:pPr>
      <w:r>
        <w:t xml:space="preserve">Each weekly milestone is due before the next class. One late milestone per term may be submitted within seven days for full credit, no questions asked, provided you email the instructor before the deadline. Beyond that allowance, late milestones lose 20% per day. Other assignments follow the same 20%-per-day rule unless their brief states otherwise.</w:t>
      </w:r>
    </w:p>
    <w:p>
      <w:pPr>
        <w:pStyle w:val="Heading2"/>
      </w:pPr>
      <w:r>
        <w:t xml:space="preserve">Missed examinations</w:t>
      </w:r>
    </w:p>
    <w:p>
      <w:pPr>
        <w:spacing w:after="100" w:before="0" w:line="264"/>
      </w:pPr>
      <w:r>
        <w:t xml:space="preserve">A missed examination receives a grade of zero unless the absence is for a documented and compelling reason such as illness, accident, or bereavement. Contact the instructor as soon as you are able, and before the examination where possible. A make-up examination, which may differ in form, will be scheduled at the instructor's discretion on receipt of appropriate documentation.</w:t>
      </w:r>
    </w:p>
    <w:p>
      <w:pPr>
        <w:pStyle w:val="Heading2"/>
      </w:pPr>
      <w:r>
        <w:t xml:space="preserve">Attendance</w:t>
      </w:r>
    </w:p>
    <w:p>
      <w:pPr>
        <w:spacing w:after="100" w:before="0" w:line="264"/>
      </w:pPr>
      <w:r>
        <w:t xml:space="preserve">Because the sessions are participatory and the term project is built in class, regular attendance matters, and the in-class participation grade depends on being present and engaged. If you must miss a session, let the instructor know and arrange to complete that week's in-class exercise.</w:t>
      </w:r>
    </w:p>
    <w:p>
      <w:pPr>
        <w:pStyle w:val="Heading2"/>
      </w:pPr>
      <w:r>
        <w:t xml:space="preserve">Group work</w:t>
      </w:r>
    </w:p>
    <w:p>
      <w:pPr>
        <w:spacing w:after="100" w:before="0" w:line="264"/>
      </w:pPr>
      <w:r>
        <w:t xml:space="preserve">The term project is individual work. Discussing your project with classmates is encouraged, and several in-class exercises are collaborative, but each milestone and the final deliverable must be your own work in your own words. Collaborative in-class exercises are assessed only through the individual participation component, not by a shared grade.</w:t>
      </w:r>
    </w:p>
    <w:p>
      <w:pPr>
        <w:pStyle w:val="Heading2"/>
      </w:pPr>
      <w:r>
        <w:t xml:space="preserve">Devices in class</w:t>
      </w:r>
    </w:p>
    <w:p>
      <w:pPr>
        <w:spacing w:after="100" w:before="0" w:line="264"/>
      </w:pPr>
      <w:r>
        <w:t xml:space="preserve">A laptop able to run R and the Taguette coding application is required for every session; the applied blocks are hands-on at the keyboard. Install the software before the first session, or arrange to borrow a Faculty machine. Use devices for course work during class, and set them aside during discussion.</w:t>
      </w:r>
    </w:p>
    <w:p>
      <w:pPr>
        <w:pStyle w:val="Heading2"/>
      </w:pPr>
      <w:r>
        <w:t xml:space="preserve">Use of generative AI</w:t>
      </w:r>
    </w:p>
    <w:p>
      <w:pPr>
        <w:spacing w:after="100" w:before="0" w:line="264"/>
      </w:pPr>
      <w:r>
        <w:t xml:space="preserve">Generative AI tools (for example ChatGPT or Claude) may be used for editing and brainstorming on the term project, but not for producing analysis or text that you then submit as your own. Disclose any AI assistance in a one-line statement at the foot of each milestone, naming what the tool did and confirming that you reviewed and revised its output. Do not paste AI-generated text without verification and disclosure. Examinations are written without AI assistance. Undisclosed use is treated as an academic-integrity matter under the policy above.</w:t>
      </w:r>
    </w:p>
    <w:p>
      <w:pPr>
        <w:pStyle w:val="Heading2"/>
      </w:pPr>
      <w:r>
        <w:t xml:space="preserve">Academic honesty</w:t>
      </w:r>
    </w:p>
    <w:p>
      <w:pPr>
        <w:spacing w:after="100" w:before="0" w:line="264"/>
      </w:pPr>
      <w:r>
        <w:t xml:space="preserve">Academic Honesty plays a key role in our efforts to maintain a high standard of academic excellence and integrity. Students are advised that ALL acts of intellectual dishonesty are subject to disciplinary action by the University; serious infractions are dealt with in accordance with the Code of Academic Honesty (Policy S10: http://www.sfu.ca/policies/gazette/student.html). Students are strongly encouraged to read the policy and inform themselves of the definitions and consequences.</w:t>
      </w:r>
    </w:p>
    <w:p>
      <w:pPr>
        <w:spacing w:after="100" w:before="0" w:line="264"/>
      </w:pPr>
      <w:r>
        <w:t xml:space="preserve">FHS adheres to SFU Academic Honesty and Student Conduct policies. Students in this course are responsible for knowing these policies, at http://www.sfu.ca/policies/Students/. A tutorial on plagiarism is at http://www.lib.sfu.ca/help/writing/plagiarism. If the instructor believes a student has committed an act of academic dishonesty, the matter will be reported to the SFU Registrar on the required form. In this course, a finding of cheating (whether plagiarism or another type) results in a grade of zero for that test or assignment.</w:t>
      </w:r>
    </w:p>
    <w:p>
      <w:pPr>
        <w:pStyle w:val="Heading2"/>
      </w:pPr>
      <w:r>
        <w:t xml:space="preserve">Accessibility and accommodation</w:t>
      </w:r>
    </w:p>
    <w:p>
      <w:pPr>
        <w:spacing w:after="100" w:before="0" w:line="264"/>
      </w:pPr>
      <w:r>
        <w:t xml:space="preserve">Students who require accommodation for a disability or an ongoing health condition should register with the SFU Centre for Accessible Learning (CAL; https://www.sfu.ca/students/accessible-learning.html) and provide their accommodation letter early in the term so that arrangements can be made in good time.</w:t>
      </w:r>
    </w:p>
    <w:p>
      <w:pPr>
        <w:pStyle w:val="Heading2"/>
      </w:pPr>
      <w:r>
        <w:t xml:space="preserve">Changes to the syllabus</w:t>
      </w:r>
    </w:p>
    <w:p>
      <w:pPr>
        <w:spacing w:after="100" w:before="0" w:line="264"/>
      </w:pPr>
      <w:r>
        <w:t xml:space="preserve">The instructor may make minor changes to the syllabus throughout the course. Changes will be announced in class and through Canvas. As a matter of fairness, grading policies, student-conduct and academic-honesty policies, and the timing of the examinations will not change once the syllabus has been circulated.</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841 · Qualitative Research and Analytical Methods · Syllabus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20"/>
      <w:outlineLvl w:val="1"/>
    </w:pPr>
    <w:rPr>
      <w:rFonts w:ascii="Arial" w:cs="Arial" w:eastAsia="Arial" w:hAnsi="Arial"/>
      <w:b/>
      <w:bCs/>
      <w:color w:val="065C50"/>
      <w:sz w:val="24"/>
      <w:szCs w:val="24"/>
    </w:rPr>
  </w:style>
  <w:style w:type="paragraph" w:styleId="Heading3">
    <w:name w:val="Heading 3"/>
    <w:basedOn w:val="Normal"/>
    <w:next w:val="Normal"/>
    <w:qFormat/>
    <w:pPr>
      <w:spacing w:after="60" w:before="160"/>
      <w:outlineLvl w:val="2"/>
    </w:pPr>
    <w:rPr>
      <w:rFonts w:ascii="Arial" w:cs="Arial" w:eastAsia="Arial" w:hAnsi="Arial"/>
      <w:b/>
      <w:bCs/>
      <w:color w:val="1A1A1A"/>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2026-06-15T20:45:51.873Z</dcterms:created>
  <dcterms:modified xsi:type="dcterms:W3CDTF">2026-06-15T20:45:51.873Z</dcterms:modified>
</cp:coreProperties>
</file>

<file path=docProps/custom.xml><?xml version="1.0" encoding="utf-8"?>
<Properties xmlns="http://schemas.openxmlformats.org/officeDocument/2006/custom-properties" xmlns:vt="http://schemas.openxmlformats.org/officeDocument/2006/docPropsVTypes"/>
</file>