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341: Fundamental Epidemiological Concepts and Approaches</w:t>
      </w:r>
    </w:p>
    <w:p>
      <w:pPr>
        <w:pStyle w:val="Heading2"/>
      </w:pPr>
      <w:r>
        <w:t xml:space="preserve">Midterm Examination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Term week 7  ·  Three-hour session</w:t>
      </w:r>
    </w:p>
    <w:p>
      <w:pPr>
        <w:spacing w:after="90" w:before="0" w:line="260"/>
      </w:pPr>
      <w:r>
        <w:t xml:space="preserve">Administer the midterm on Lessons 1 to 6, then run a supervised capstone studio so the exam week costs no project time.</w:t>
      </w:r>
    </w:p>
    <w:p>
      <w:pPr>
        <w:pStyle w:val="Heading3"/>
      </w:pPr>
      <w:r>
        <w:t xml:space="preserve">Session at a glance</w:t>
      </w:r>
    </w:p>
    <w:tbl>
      <w:tblPr>
        <w:tblW w:type="dxa" w:w="9360"/>
        <w:tblBorders>
          <w:top w:val="single" w:color="BBBBBB" w:sz="1"/>
          <w:left w:val="single" w:color="BBBBBB" w:sz="1"/>
          <w:bottom w:val="single" w:color="BBBBBB" w:sz="1"/>
          <w:right w:val="single" w:color="BBBBBB" w:sz="1"/>
          <w:insideH w:val="single" w:color="BBBBBB" w:sz="1"/>
          <w:insideV w:val="single" w:color="BBBBBB" w:sz="1"/>
        </w:tblBorders>
      </w:tblPr>
      <w:tblGrid>
        <w:gridCol w:w="1500"/>
        <w:gridCol w:w="2860"/>
        <w:gridCol w:w="5000"/>
      </w:tblGrid>
      <w:tr>
        <w:trPr>
          <w:tblHeader/>
        </w:trPr>
        <w:tc>
          <w:tcPr>
            <w:tcW w:type="dxa" w:w="15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Time</w:t>
            </w:r>
          </w:p>
        </w:tc>
        <w:tc>
          <w:tcPr>
            <w:tcW w:type="dxa" w:w="286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Block</w:t>
            </w:r>
          </w:p>
        </w:tc>
        <w:tc>
          <w:tcPr>
            <w:tcW w:type="dxa" w:w="50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Focus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0:00 – 0:10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Settle and instructions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Distribute the paper; state permitted materials and timing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0:10 – 1:30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Midterm examination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Lessons 1 to 6, in the format described in the syllabus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1:30 – 1:40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Break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1:40 – 2:50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Capstone studio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Collect the due milestone; mid-term project check-in and catch-up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2:50 – 3:00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Debrief and preview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Note return timing; preview the Lesson 7 module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Coverage. </w:t>
      </w:r>
      <w:r>
        <w:t xml:space="preserve">An in-class examination covering Lessons 1 to 6 (causal concepts; surveillance and outbreak investigation; sampling; questionnaire design; measures of disease frequency; and screening and diagnostic tests). Items combine calculation with interpretation.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Finalize and proofread the midterm; prepare the marking key.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State permitted materials (calculator, one-page aid, or closed-book) on the paper.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Bring the milestone checklist to collect and log the due milestone.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Coordinate accommodations with the Centre for Accessible Learning.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341 · Midterm examination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2026-06-16T15:53:16.833Z</dcterms:created>
  <dcterms:modified xsi:type="dcterms:W3CDTF">2026-06-16T15:53:16.833Z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