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230: Evaluating Epidemiological Research</w:t>
      </w:r>
    </w:p>
    <w:p>
      <w:pPr>
        <w:pStyle w:val="Heading2"/>
      </w:pPr>
      <w:r>
        <w:t xml:space="preserve">Lesson 8 · Sampling Selection and External Validity</w:t>
      </w:r>
    </w:p>
    <w:p>
      <w:pPr>
        <w:spacing w:after="70" w:before="0" w:line="260"/>
      </w:pPr>
      <w:r>
        <w:rPr>
          <w:i/>
          <w:iCs/>
          <w:color w:val="555555"/>
        </w:rPr>
        <w:t xml:space="preserve">Term week 9  ·  Three-hour session</w:t>
      </w:r>
    </w:p>
    <w:p>
      <w:pPr>
        <w:spacing w:after="90" w:before="0" w:line="260"/>
      </w:pPr>
      <w:r>
        <w:t xml:space="preserve">Work through selection mechanisms and external validity, from Berkson's bias to transportability. Each named mechanism is cued so a substitute can run the matching activity confidently.</w:t>
      </w:r>
    </w:p>
    <w:p>
      <w:pPr>
        <w:pStyle w:val="Heading3"/>
      </w:pPr>
      <w:r>
        <w:t xml:space="preserve">Learning objectives</w:t>
      </w:r>
    </w:p>
    <w:p>
      <w:pPr>
        <w:pStyle w:val="ListParagraph"/>
        <w:numPr>
          <w:ilvl w:val="0"/>
          <w:numId w:val="2"/>
        </w:numPr>
        <w:spacing w:after="40" w:line="258"/>
      </w:pPr>
      <w:r>
        <w:t xml:space="preserve">Explain Berkson’s bias and identify when hospital-based sampling distorts exposure-outcome associations</w:t>
      </w:r>
    </w:p>
    <w:p>
      <w:pPr>
        <w:pStyle w:val="ListParagraph"/>
        <w:numPr>
          <w:ilvl w:val="0"/>
          <w:numId w:val="2"/>
        </w:numPr>
        <w:spacing w:after="40" w:line="258"/>
      </w:pPr>
      <w:r>
        <w:t xml:space="preserve">Describe the healthy worker effect and interpret standardized mortality ratios in occupational epidemiology</w:t>
      </w:r>
    </w:p>
    <w:p>
      <w:pPr>
        <w:pStyle w:val="ListParagraph"/>
        <w:numPr>
          <w:ilvl w:val="0"/>
          <w:numId w:val="2"/>
        </w:numPr>
        <w:spacing w:after="40" w:line="258"/>
      </w:pPr>
      <w:r>
        <w:t xml:space="preserve">Distinguish attrition bias from nonresponse bias and evaluate strategies for mitigating each</w:t>
      </w:r>
    </w:p>
    <w:p>
      <w:pPr>
        <w:pStyle w:val="ListParagraph"/>
        <w:numPr>
          <w:ilvl w:val="0"/>
          <w:numId w:val="2"/>
        </w:numPr>
        <w:spacing w:after="40" w:line="258"/>
      </w:pPr>
      <w:r>
        <w:t xml:space="preserve">Recognize prevalence-incidence (Neyman) bias and explain how cross-sectional designs miss rapidly fatal cases</w:t>
      </w:r>
    </w:p>
    <w:p>
      <w:pPr>
        <w:pStyle w:val="ListParagraph"/>
        <w:numPr>
          <w:ilvl w:val="0"/>
          <w:numId w:val="2"/>
        </w:numPr>
        <w:spacing w:after="40" w:line="258"/>
      </w:pPr>
      <w:r>
        <w:t xml:space="preserve">Identify survivorship bias in cohort studies and its implications for causal inference</w:t>
      </w:r>
    </w:p>
    <w:p>
      <w:pPr>
        <w:pStyle w:val="ListParagraph"/>
        <w:numPr>
          <w:ilvl w:val="0"/>
          <w:numId w:val="2"/>
        </w:numPr>
        <w:spacing w:after="40" w:line="258"/>
      </w:pPr>
      <w:r>
        <w:t xml:space="preserve">Evaluate transportability of study findings to target populations with differing characteristics</w:t>
      </w:r>
    </w:p>
    <w:p>
      <w:pPr>
        <w:pStyle w:val="ListParagraph"/>
        <w:numPr>
          <w:ilvl w:val="0"/>
          <w:numId w:val="2"/>
        </w:numPr>
        <w:spacing w:after="40" w:line="258"/>
      </w:pPr>
      <w:r>
        <w:t xml:space="preserve">Critically assess whether epidemiological studies have adequately addressed selection-related threats to validity</w:t>
      </w:r>
    </w:p>
    <w:p>
      <w:pPr>
        <w:pStyle w:val="Heading3"/>
      </w:pPr>
      <w:r>
        <w:t xml:space="preserve">Before class (flipped preparation)</w:t>
      </w:r>
    </w:p>
    <w:p>
      <w:pPr>
        <w:spacing w:after="90" w:before="0" w:line="260"/>
      </w:pPr>
      <w:r>
        <w:t xml:space="preserve">Students complete the Lesson 8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Name that selection bias (10 min)</w:t>
      </w:r>
    </w:p>
    <w:p>
      <w:pPr>
        <w:spacing w:after="90" w:before="0" w:line="260"/>
      </w:pPr>
      <w:r>
        <w:rPr>
          <w:b/>
          <w:bCs/>
        </w:rPr>
        <w:t xml:space="preserve">Set-up. </w:t>
      </w:r>
      <w:r>
        <w:t xml:space="preserve">Slide: 'A hospital study finds two diseases are associated. In the community they are unrelated. Both diseases independently raise the chance of being hospitalised.'</w:t>
      </w:r>
    </w:p>
    <w:p>
      <w:pPr>
        <w:spacing w:after="30" w:before="0" w:line="260"/>
      </w:pPr>
      <w:r>
        <w:rPr>
          <w:b/>
          <w:bCs/>
        </w:rPr>
        <w:t xml:space="preserve">Run it:</w:t>
      </w:r>
    </w:p>
    <w:p>
      <w:pPr>
        <w:pStyle w:val="ListParagraph"/>
        <w:numPr>
          <w:ilvl w:val="0"/>
          <w:numId w:val="3"/>
        </w:numPr>
        <w:spacing w:after="40" w:line="258"/>
      </w:pPr>
      <w:r>
        <w:t xml:space="preserve">Students name the mechanism and explain in one sentence why the hospital sample creates a false association (two minutes).</w:t>
      </w:r>
    </w:p>
    <w:p>
      <w:pPr>
        <w:pStyle w:val="ListParagraph"/>
        <w:numPr>
          <w:ilvl w:val="0"/>
          <w:numId w:val="3"/>
        </w:numPr>
        <w:spacing w:after="40" w:line="258"/>
      </w:pPr>
      <w:r>
        <w:t xml:space="preserve">Reveal Berkson's bias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This is Berkson's bias: selection into the hospital sample is caused by both conditions, so they appear correlated among the admitted.</w:t>
            </w:r>
          </w:p>
          <w:p>
            <w:pPr>
              <w:pStyle w:val="ListParagraph"/>
              <w:numPr>
                <w:ilvl w:val="0"/>
                <w:numId w:val="2"/>
              </w:numPr>
              <w:spacing w:after="30" w:line="258"/>
            </w:pPr>
            <w:r>
              <w:t xml:space="preserve">It is a special case of collider bias, where 'being in the study' is the collider.</w:t>
            </w:r>
          </w:p>
          <w:p>
            <w:pPr>
              <w:pStyle w:val="ListParagraph"/>
              <w:numPr>
                <w:ilvl w:val="0"/>
                <w:numId w:val="2"/>
              </w:numPr>
              <w:spacing w:after="30" w:line="258"/>
            </w:pPr>
            <w:r>
              <w:t xml:space="preserve">The fix is sampling from the source population, not from a selected subgroup.</w:t>
            </w:r>
          </w:p>
        </w:tc>
      </w:tr>
    </w:tbl>
    <w:p>
      <w:pPr>
        <w:pStyle w:val="Heading3"/>
      </w:pPr>
      <w:r>
        <w:t xml:space="preserve">2 · Co-construction review (34 min)</w:t>
      </w:r>
    </w:p>
    <w:p>
      <w:pPr>
        <w:pStyle w:val="Heading4"/>
      </w:pPr>
      <w:r>
        <w:t xml:space="preserve">Activity 1: Match the mechanism</w:t>
      </w:r>
    </w:p>
    <w:p>
      <w:pPr>
        <w:spacing w:after="30" w:before="0" w:line="260"/>
      </w:pPr>
      <w:r>
        <w:rPr>
          <w:i/>
          <w:iCs/>
          <w:color w:val="555555"/>
          <w:sz w:val="18"/>
          <w:szCs w:val="18"/>
        </w:rPr>
        <w:t xml:space="preserve">Matching, groups  ·  18 min</w:t>
      </w:r>
    </w:p>
    <w:p>
      <w:pPr>
        <w:spacing w:after="90" w:before="0" w:line="260"/>
      </w:pPr>
      <w:r>
        <w:rPr>
          <w:b/>
          <w:bCs/>
        </w:rPr>
        <w:t xml:space="preserve">Materials. </w:t>
      </w:r>
      <w:r>
        <w:t xml:space="preserve">Cards naming mechanisms (Berkson's bias, healthy-worker effect, prevalence-incidence or Neyman bias, survivorship bias) and cards describing scenarios that produce each.</w:t>
      </w:r>
    </w:p>
    <w:p>
      <w:pPr>
        <w:spacing w:after="30" w:before="0" w:line="260"/>
      </w:pPr>
      <w:r>
        <w:rPr>
          <w:b/>
          <w:bCs/>
        </w:rPr>
        <w:t xml:space="preserve">Run it:</w:t>
      </w:r>
    </w:p>
    <w:p>
      <w:pPr>
        <w:pStyle w:val="ListParagraph"/>
        <w:numPr>
          <w:ilvl w:val="0"/>
          <w:numId w:val="4"/>
        </w:numPr>
        <w:spacing w:after="40" w:line="258"/>
      </w:pPr>
      <w:r>
        <w:t xml:space="preserve">Groups match each mechanism to its scenario and state the direction of the resulting bias (seven minutes).</w:t>
      </w:r>
    </w:p>
    <w:p>
      <w:pPr>
        <w:pStyle w:val="ListParagraph"/>
        <w:numPr>
          <w:ilvl w:val="0"/>
          <w:numId w:val="4"/>
        </w:numPr>
        <w:spacing w:after="40" w:line="258"/>
      </w:pPr>
      <w:r>
        <w:t xml:space="preserve">Groups defend the trickiest match.</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Match each selection mechanism to the scenario that produces it, and say which way it biases the estimate.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Healthy-worker effect: employed groups are healthier than the general population, so occupational studies can understate harm; interpret standardised mortality ratios with this in mind.</w:t>
            </w:r>
          </w:p>
          <w:p>
            <w:pPr>
              <w:pStyle w:val="ListParagraph"/>
              <w:numPr>
                <w:ilvl w:val="0"/>
                <w:numId w:val="2"/>
              </w:numPr>
              <w:spacing w:after="30" w:line="258"/>
            </w:pPr>
            <w:r>
              <w:t xml:space="preserve">Prevalence-incidence (Neyman) bias: cross-sectional or prevalent-case sampling misses rapidly fatal cases, distorting the exposure-outcome picture.</w:t>
            </w:r>
          </w:p>
          <w:p>
            <w:pPr>
              <w:pStyle w:val="ListParagraph"/>
              <w:numPr>
                <w:ilvl w:val="0"/>
                <w:numId w:val="2"/>
              </w:numPr>
              <w:spacing w:after="30" w:line="258"/>
            </w:pPr>
            <w:r>
              <w:t xml:space="preserve">Survivorship bias: studying only those who survived to be observed hides the experience of those who did not.</w:t>
            </w:r>
          </w:p>
          <w:p>
            <w:pPr>
              <w:pStyle w:val="ListParagraph"/>
              <w:numPr>
                <w:ilvl w:val="0"/>
                <w:numId w:val="2"/>
              </w:numPr>
              <w:spacing w:after="30" w:line="258"/>
            </w:pPr>
            <w:r>
              <w:t xml:space="preserve">Berkson's bias: selection caused by two conditions makes them look associated.</w:t>
            </w:r>
          </w:p>
        </w:tc>
      </w:tr>
    </w:tbl>
    <w:p>
      <w:pPr>
        <w:spacing w:after="90" w:before="0" w:line="260"/>
      </w:pPr>
      <w:r>
        <w:rPr>
          <w:b/>
          <w:bCs/>
        </w:rPr>
        <w:t xml:space="preserve">Close. </w:t>
      </w:r>
      <w:r>
        <w:t xml:space="preserve">Students note which mechanism most threatens their own studies.</w:t>
      </w:r>
    </w:p>
    <w:p>
      <w:pPr>
        <w:pStyle w:val="Heading4"/>
      </w:pPr>
      <w:r>
        <w:t xml:space="preserve">Activity 2: Will it transport?</w:t>
      </w:r>
    </w:p>
    <w:p>
      <w:pPr>
        <w:spacing w:after="30" w:before="0" w:line="260"/>
      </w:pPr>
      <w:r>
        <w:rPr>
          <w:i/>
          <w:iCs/>
          <w:color w:val="555555"/>
          <w:sz w:val="18"/>
          <w:szCs w:val="18"/>
        </w:rPr>
        <w:t xml:space="preserve">Judgement, pairs  ·  16 min</w:t>
      </w:r>
    </w:p>
    <w:p>
      <w:pPr>
        <w:spacing w:after="90" w:before="0" w:line="260"/>
      </w:pPr>
      <w:r>
        <w:rPr>
          <w:b/>
          <w:bCs/>
        </w:rPr>
        <w:t xml:space="preserve">Materials. </w:t>
      </w:r>
      <w:r>
        <w:t xml:space="preserve">A slide describing a result from one population and a different target population (for example, a trial in middle-aged men applied to older women).</w:t>
      </w:r>
    </w:p>
    <w:p>
      <w:pPr>
        <w:spacing w:after="30" w:before="0" w:line="260"/>
      </w:pPr>
      <w:r>
        <w:rPr>
          <w:b/>
          <w:bCs/>
        </w:rPr>
        <w:t xml:space="preserve">Run it:</w:t>
      </w:r>
    </w:p>
    <w:p>
      <w:pPr>
        <w:pStyle w:val="ListParagraph"/>
        <w:numPr>
          <w:ilvl w:val="0"/>
          <w:numId w:val="5"/>
        </w:numPr>
        <w:spacing w:after="40" w:line="258"/>
      </w:pPr>
      <w:r>
        <w:t xml:space="preserve">Pairs decide whether the result transports and list the characteristics that would have to match for it to hold (five minutes).</w:t>
      </w:r>
    </w:p>
    <w:p>
      <w:pPr>
        <w:pStyle w:val="ListParagraph"/>
        <w:numPr>
          <w:ilvl w:val="0"/>
          <w:numId w:val="5"/>
        </w:numPr>
        <w:spacing w:after="40" w:line="258"/>
      </w:pPr>
      <w:r>
        <w:t xml:space="preserve">Pairs report; you build a list of transportability conditions.</w:t>
      </w:r>
    </w:p>
    <w:p>
      <w:pPr>
        <w:pStyle w:val="ListParagraph"/>
        <w:numPr>
          <w:ilvl w:val="0"/>
          <w:numId w:val="5"/>
        </w:numPr>
        <w:spacing w:after="40" w:line="258"/>
      </w:pPr>
      <w:r>
        <w:t xml:space="preserve">Separate internal from external validity.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Would this result transport to the target population, and what would have to be true for it to hold?</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Internal validity is whether the result is correct for the studied sample; external validity is whether it generalises to another population.</w:t>
            </w:r>
          </w:p>
          <w:p>
            <w:pPr>
              <w:pStyle w:val="ListParagraph"/>
              <w:numPr>
                <w:ilvl w:val="0"/>
                <w:numId w:val="2"/>
              </w:numPr>
              <w:spacing w:after="30" w:line="258"/>
            </w:pPr>
            <w:r>
              <w:t xml:space="preserve">Transportability depends on whether effect modifiers differ between the studied and target populations.</w:t>
            </w:r>
          </w:p>
          <w:p>
            <w:pPr>
              <w:pStyle w:val="ListParagraph"/>
              <w:numPr>
                <w:ilvl w:val="0"/>
                <w:numId w:val="2"/>
              </w:numPr>
              <w:spacing w:after="30" w:line="258"/>
            </w:pPr>
            <w:r>
              <w:t xml:space="preserve">A perfectly internally valid study can still fail to transport.</w:t>
            </w:r>
          </w:p>
        </w:tc>
      </w:tr>
    </w:tbl>
    <w:p>
      <w:pPr>
        <w:spacing w:after="90" w:before="0" w:line="260"/>
      </w:pPr>
      <w:r>
        <w:rPr>
          <w:b/>
          <w:bCs/>
        </w:rPr>
        <w:t xml:space="preserve">Close. </w:t>
      </w:r>
      <w:r>
        <w:t xml:space="preserve">Students state to whom their headline finding does and does not transport.</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Internal or external validity: which comes first?</w:t>
      </w:r>
    </w:p>
    <w:p>
      <w:pPr>
        <w:spacing w:after="80" w:before="0" w:line="260"/>
      </w:pPr>
      <w:r>
        <w:rPr>
          <w:b/>
          <w:bCs/>
          <w:color w:val="0B7B6B"/>
        </w:rPr>
        <w:t xml:space="preserve">A.  </w:t>
      </w:r>
      <w:r>
        <w:t xml:space="preserve">Internal validity comes first. If a result is not valid for the people studied, generalising it is meaningless. Once internal validity holds, external validity asks who else it applies to. A flawless trial in an unrepresentative sample can still mislead about the broader population.</w:t>
      </w:r>
    </w:p>
    <w:p>
      <w:pPr>
        <w:spacing w:after="20" w:before="0" w:line="260"/>
      </w:pPr>
      <w:r>
        <w:rPr>
          <w:b/>
          <w:bCs/>
          <w:color w:val="A3002A"/>
        </w:rPr>
        <w:t xml:space="preserve">Q.  </w:t>
      </w:r>
      <w:r>
        <w:rPr>
          <w:b/>
          <w:bCs/>
        </w:rPr>
        <w:t xml:space="preserve">Which way does selection bias push the estimate?</w:t>
      </w:r>
    </w:p>
    <w:p>
      <w:pPr>
        <w:spacing w:after="80" w:before="0" w:line="260"/>
      </w:pPr>
      <w:r>
        <w:rPr>
          <w:b/>
          <w:bCs/>
          <w:color w:val="0B7B6B"/>
        </w:rPr>
        <w:t xml:space="preserve">A.  </w:t>
      </w:r>
      <w:r>
        <w:t xml:space="preserve">It depends on the mechanism and who is selected; it can bias toward or away from the null. That is why we name the mechanism and reason about direction rather than assuming. The healthy-worker effect typically understates harm; Berkson's typically manufactures association.</w:t>
      </w:r>
    </w:p>
    <w:p>
      <w:pPr>
        <w:spacing w:after="20" w:before="0" w:line="260"/>
      </w:pPr>
      <w:r>
        <w:rPr>
          <w:b/>
          <w:bCs/>
          <w:color w:val="A3002A"/>
        </w:rPr>
        <w:t xml:space="preserve">Q.  </w:t>
      </w:r>
      <w:r>
        <w:rPr>
          <w:b/>
          <w:bCs/>
        </w:rPr>
        <w:t xml:space="preserve">Is a non-representative sample always a fatal flaw?</w:t>
      </w:r>
    </w:p>
    <w:p>
      <w:pPr>
        <w:spacing w:after="80" w:before="0" w:line="260"/>
      </w:pPr>
      <w:r>
        <w:rPr>
          <w:b/>
          <w:bCs/>
          <w:color w:val="0B7B6B"/>
        </w:rPr>
        <w:t xml:space="preserve">A.  </w:t>
      </w:r>
      <w:r>
        <w:t xml:space="preserve">No. It threatens external validity, not necessarily internal validity. A study can be internally sound and still only speak to its own population. Whether that is fatal depends on the question you are asking of it.</w:t>
      </w:r>
    </w:p>
    <w:p>
      <w:pPr>
        <w:pStyle w:val="Heading3"/>
      </w:pPr>
      <w:r>
        <w:t xml:space="preserve">4 · Applied exercise — External-validity audit: does the finding transport? (40 min)</w:t>
      </w:r>
    </w:p>
    <w:p>
      <w:pPr>
        <w:spacing w:after="90" w:before="0" w:line="260"/>
      </w:pPr>
      <w:r>
        <w:rPr>
          <w:b/>
          <w:bCs/>
        </w:rPr>
        <w:t xml:space="preserve">Materials. </w:t>
      </w:r>
      <w:r>
        <w:t xml:space="preserve">A one-page audit sheet plus a printed study brief (provided below; nothing to look up). The brief gives each study's source population, sampling frame, recruitment method, participation rate, the headline effect, and the candidate target population. The audit sheet has five columns: studied population, sampling/recruitment, plausible effect modifier, target population, transports? (yes / partly / no) with the reason.</w:t>
      </w:r>
    </w:p>
    <w:p>
      <w:pPr>
        <w:spacing w:after="90" w:before="0" w:line="260"/>
      </w:pPr>
      <w:r>
        <w:rPr>
          <w:b/>
          <w:bCs/>
        </w:rPr>
        <w:t xml:space="preserve">Task (for students). </w:t>
      </w:r>
      <w:r>
        <w:t xml:space="preserve">For a provided study brief, decide to which target population the result transports and to which it does not. Your reason must name the specific characteristic (an effect modifier or a sampling distortion) that differs between the studied and target populations and explain why that difference would change the result.</w:t>
      </w:r>
    </w:p>
    <w:p>
      <w:pPr>
        <w:spacing w:after="30" w:before="0" w:line="260"/>
      </w:pPr>
      <w:r>
        <w:rPr>
          <w:b/>
          <w:bCs/>
        </w:rPr>
        <w:t xml:space="preserve">Student instructions:</w:t>
      </w:r>
    </w:p>
    <w:p>
      <w:pPr>
        <w:pStyle w:val="ListParagraph"/>
        <w:numPr>
          <w:ilvl w:val="0"/>
          <w:numId w:val="6"/>
        </w:numPr>
        <w:spacing w:after="40" w:line="258"/>
      </w:pPr>
      <w:r>
        <w:t xml:space="preserve">Read the brief and write the studied population in your own words: who was actually enrolled, not who the authors hoped to describe.</w:t>
      </w:r>
    </w:p>
    <w:p>
      <w:pPr>
        <w:pStyle w:val="ListParagraph"/>
        <w:numPr>
          <w:ilvl w:val="0"/>
          <w:numId w:val="6"/>
        </w:numPr>
        <w:spacing w:after="40" w:line="258"/>
      </w:pPr>
      <w:r>
        <w:t xml:space="preserve">Note the sampling frame and recruitment route, and flag any selection mechanism baked in (hospital-based admission, volunteer recruitment, an occupationally fit workforce, survivors of an acute event).</w:t>
      </w:r>
    </w:p>
    <w:p>
      <w:pPr>
        <w:pStyle w:val="ListParagraph"/>
        <w:numPr>
          <w:ilvl w:val="0"/>
          <w:numId w:val="6"/>
        </w:numPr>
        <w:spacing w:after="40" w:line="258"/>
      </w:pPr>
      <w:r>
        <w:t xml:space="preserve">List one or two plausible effect modifiers: baseline risk, age, comorbidity, care setting, or adherence. An effect modifier is a factor across which the size or direction of the effect genuinely differs.</w:t>
      </w:r>
    </w:p>
    <w:p>
      <w:pPr>
        <w:pStyle w:val="ListParagraph"/>
        <w:numPr>
          <w:ilvl w:val="0"/>
          <w:numId w:val="6"/>
        </w:numPr>
        <w:spacing w:after="40" w:line="258"/>
      </w:pPr>
      <w:r>
        <w:t xml:space="preserve">Compare the studied population with the named target population on those modifiers, and decide whether they match closely, partly, or poorly.</w:t>
      </w:r>
    </w:p>
    <w:p>
      <w:pPr>
        <w:pStyle w:val="ListParagraph"/>
        <w:numPr>
          <w:ilvl w:val="0"/>
          <w:numId w:val="6"/>
        </w:numPr>
        <w:spacing w:after="40" w:line="258"/>
      </w:pPr>
      <w:r>
        <w:t xml:space="preserve">Record a judgement of transports yes / partly / no, and in one sentence name the single deciding difference and say which way it pushes the result (toward larger, smaller, or reversed effect).</w:t>
      </w:r>
    </w:p>
    <w:p>
      <w:pPr>
        <w:pStyle w:val="ListParagraph"/>
        <w:numPr>
          <w:ilvl w:val="0"/>
          <w:numId w:val="6"/>
        </w:numPr>
        <w:spacing w:after="40" w:line="258"/>
      </w:pPr>
      <w:r>
        <w:t xml:space="preserve">State one thing the authors could report that would let a reader check transportability themselves (a subgroup estimate, the participation rate by group, or the baseline-risk distribution).</w:t>
      </w:r>
    </w:p>
    <w:p>
      <w:pPr>
        <w:pStyle w:val="ListParagraph"/>
        <w:numPr>
          <w:ilvl w:val="0"/>
          <w:numId w:val="6"/>
        </w:numPr>
        <w:spacing w:after="40" w:line="258"/>
      </w:pPr>
      <w:r>
        <w:t xml:space="preserve">Separate internal from external validity in a final line: confirm the study is internally sound for its own sample before judging whether it travels.</w:t>
      </w:r>
    </w:p>
    <w:p>
      <w:pPr>
        <w:pStyle w:val="Heading4"/>
      </w:pPr>
      <w:r>
        <w:t xml:space="preserve">Worked example — present to students</w:t>
      </w:r>
    </w:p>
    <w:p>
      <w:pPr>
        <w:spacing w:after="90" w:before="0" w:line="260"/>
      </w:pPr>
      <w:r>
        <w:rPr>
          <w:b/>
          <w:bCs/>
        </w:rPr>
        <w:t xml:space="preserve">Given. </w:t>
      </w:r>
      <w:r>
        <w:t xml:space="preserve">A randomized trial enrols adults with established cardiovascular disease (high baseline risk). Over 5 years the drug cuts the risk of a major cardiac event from 20% to 15%. That is a relative risk reduction of 25% and an absolute risk reduction of 5 percentage points, so the number needed to treat is 1 / 0.05 = 20. A clinic wants to apply the result to healthy 40-year-olds whose 5-year baseline risk is about 2%.</w:t>
      </w:r>
    </w:p>
    <w:p>
      <w:pPr>
        <w:spacing w:after="20" w:before="0" w:line="260"/>
      </w:pPr>
      <w:r>
        <w:rPr>
          <w:b/>
          <w:bCs/>
        </w:rPr>
        <w:t xml:space="preserve">Solution (walk through on the board):</w:t>
      </w:r>
    </w:p>
    <w:p>
      <w:pPr>
        <w:pStyle w:val="ListParagraph"/>
        <w:numPr>
          <w:ilvl w:val="0"/>
          <w:numId w:val="7"/>
        </w:numPr>
        <w:spacing w:after="40" w:line="258"/>
      </w:pPr>
      <w:r>
        <w:t xml:space="preserve">Studied population: secondary-prevention patients, 5-year baseline event risk 20%. Target population: primary-prevention adults, baseline risk about 2%.</w:t>
      </w:r>
    </w:p>
    <w:p>
      <w:pPr>
        <w:pStyle w:val="ListParagraph"/>
        <w:numPr>
          <w:ilvl w:val="0"/>
          <w:numId w:val="7"/>
        </w:numPr>
        <w:spacing w:after="40" w:line="258"/>
      </w:pPr>
      <w:r>
        <w:t xml:space="preserve">Candidate effect modifier: baseline risk. A relative effect can be stable while the absolute benefit tracks baseline risk.</w:t>
      </w:r>
    </w:p>
    <w:p>
      <w:pPr>
        <w:pStyle w:val="ListParagraph"/>
        <w:numPr>
          <w:ilvl w:val="0"/>
          <w:numId w:val="7"/>
        </w:numPr>
        <w:spacing w:after="40" w:line="258"/>
      </w:pPr>
      <w:r>
        <w:t xml:space="preserve">Assume the same 25% relative reduction holds in the low-risk group: 2% baseline becomes 2% x (1 - 0.25) = 1.5%, an absolute reduction of only 0.5 percentage points.</w:t>
      </w:r>
    </w:p>
    <w:p>
      <w:pPr>
        <w:pStyle w:val="ListParagraph"/>
        <w:numPr>
          <w:ilvl w:val="0"/>
          <w:numId w:val="7"/>
        </w:numPr>
        <w:spacing w:after="40" w:line="258"/>
      </w:pPr>
      <w:r>
        <w:t xml:space="preserve">Number needed to treat in the target group: 1 / 0.005 = 200, against 20 in the trial. The same pill prevents one event per 20 treated in the trial but one per 200 in the low-risk group.</w:t>
      </w:r>
    </w:p>
    <w:p>
      <w:pPr>
        <w:pStyle w:val="ListParagraph"/>
        <w:numPr>
          <w:ilvl w:val="0"/>
          <w:numId w:val="7"/>
        </w:numPr>
        <w:spacing w:after="40" w:line="258"/>
      </w:pPr>
      <w:r>
        <w:t xml:space="preserve">Harms (side effects, cost) do not shrink with baseline risk, so the benefit-to-harm balance is far less favourable in the low-risk group even though the relative effect is unchanged.</w:t>
      </w:r>
    </w:p>
    <w:p>
      <w:pPr>
        <w:pStyle w:val="ListParagraph"/>
        <w:numPr>
          <w:ilvl w:val="0"/>
          <w:numId w:val="7"/>
        </w:numPr>
        <w:spacing w:after="40" w:line="258"/>
      </w:pPr>
      <w:r>
        <w:t xml:space="preserve">Internal validity is not the issue: the trial can be perfectly valid for its own high-risk sample and still mislead if its absolute benefit is read across to a low-risk group.</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Transports partly: the 25% relative risk reduction plausibly carries over, but the absolute benefit does not, because baseline risk is the deciding modifier (NNT 20 in-trial versus about 200 in healthy 40-year-olds).</w:t>
            </w:r>
          </w:p>
        </w:tc>
      </w:tr>
    </w:tbl>
    <w:p>
      <w:pPr>
        <w:pStyle w:val="Heading4"/>
      </w:pPr>
      <w:r>
        <w:t xml:space="preserve">Assignment practice — hand out</w:t>
      </w:r>
    </w:p>
    <w:p>
      <w:pPr>
        <w:spacing w:after="20" w:before="0" w:line="260"/>
      </w:pPr>
      <w:r>
        <w:rPr>
          <w:b/>
          <w:bCs/>
          <w:color w:val="065C50"/>
        </w:rPr>
        <w:t xml:space="preserve">Practice 1: Healthy worker effect.  </w:t>
      </w:r>
      <w:r>
        <w:t xml:space="preserve">A cohort of currently employed factory workers exposed to a solvent is followed for mortality and compared with the general adult population of the same age and sex. The workers show a standardized mortality ratio (SMR) of 0.85, meaning 15% fewer deaths than expected. Recruitment was restricted to people well enough to be in active employment; the general-population comparison includes people too sick to work. A regulator wants to use the SMR of 0.85 to argue the solvent is harmless for the wider public.</w:t>
      </w:r>
    </w:p>
    <w:p>
      <w:pPr>
        <w:spacing w:after="20" w:before="0" w:line="260"/>
      </w:pPr>
      <w:r>
        <w:rPr>
          <w:b/>
          <w:bCs/>
          <w:i/>
          <w:iCs/>
        </w:rPr>
        <w:t xml:space="preserve">Task.  </w:t>
      </w:r>
      <w:r>
        <w:t xml:space="preserve">State whether the result transports to the general public, and in one sentence name the deciding sampling distortion and which way it biases the comparison.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Does not transport as a safety claim. The deciding distortion is the healthy worker effect: the workforce was selected for being fit enough to work, so it is healthier at baseline than the general population that includes the unable-to-work, which biases the SMR downward. An SMR below 1 against the general population is therefore expected even for a harmful exposure; the right comparison is an internal one (higher-exposed versus lower-exposed workers), and a value of 0.85 cannot support 'harmless for the public'.</w:t>
            </w:r>
          </w:p>
        </w:tc>
      </w:tr>
    </w:tbl>
    <w:p>
      <w:pPr>
        <w:spacing w:after="20" w:before="0" w:line="260"/>
      </w:pPr>
      <w:r>
        <w:rPr>
          <w:b/>
          <w:bCs/>
          <w:color w:val="065C50"/>
        </w:rPr>
        <w:t xml:space="preserve">Practice 2: Screening program transportability.  </w:t>
      </w:r>
      <w:r>
        <w:t xml:space="preserve">A screening program for a cancer is evaluated in a high-incidence region where the disease prevalence is 1%. Using a test with sensitivity 90% and specificity 90%, planners report that a positive result carries a positive predictive value (PPV) of about 8.3%. A second region with the same test wants to adopt the program, but its disease prevalence is only 0.1%, one tenth as high. (PPV = (sens x prev) / [sens x prev + (1 - spec) x (1 - prev)].)</w:t>
      </w:r>
    </w:p>
    <w:p>
      <w:pPr>
        <w:spacing w:after="20" w:before="0" w:line="260"/>
      </w:pPr>
      <w:r>
        <w:rPr>
          <w:b/>
          <w:bCs/>
          <w:i/>
          <w:iCs/>
        </w:rPr>
        <w:t xml:space="preserve">Task.  </w:t>
      </w:r>
      <w:r>
        <w:t xml:space="preserve">State whether the reported PPV transports to the low-prevalence region, and in one sentence name the deciding modifier and which way it pushes the PPV.</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Does not transport. The deciding modifier is disease prevalence, which sets PPV even when sensitivity and specificity are fixed. Check the high-incidence figure: (0.90 x 0.01) / [(0.90 x 0.01) + (0.10 x 0.99)] = 0.009 / (0.009 + 0.099) = 0.009 / 0.108 = 0.083, about 8.3%. In the low-prevalence region: (0.90 x 0.001) / [(0.90 x 0.001) + (0.10 x 0.999)] = 0.0009 / (0.0009 + 0.0999) = 0.0009 / 0.1008 = 0.0089, about 0.9%. The same test yields roughly 8.3% PPV in the high-incidence region but under 1% in the low-prevalence one, so most positives there are false, and the original PPV must not be carried across.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names a concrete difference between the studied and target populations (baseline risk, the fitness criterion behind the healthy worker effect, disease prevalence, age, comorbidity, or care setting) and explains the mechanism by which it changes the result, including the direction of the shift. A weak audit only asserts 'the sample was not representative' without naming which difference matters or which way it bites. Internal validity is addressed first: a study can be perfectly valid for its own sample and still fail to transport. Common errors to correct: treating a relative effect and an absolute effect as interchangeable across baseline-risk levels (the statin case); reading an SMR below 1 as evidence of safety when the healthy worker effect manufactures it; and forgetting that predictive values move with prevalence while sensitivity and specificity do not.</w:t>
            </w:r>
          </w:p>
        </w:tc>
      </w:tr>
    </w:tbl>
    <w:p>
      <w:pPr>
        <w:spacing w:after="90" w:before="0" w:line="260"/>
      </w:pPr>
      <w:r>
        <w:rPr>
          <w:b/>
          <w:bCs/>
        </w:rPr>
        <w:t xml:space="preserve">Debrief. </w:t>
      </w:r>
      <w:r>
        <w:t xml:space="preserve">Land the rule in one line: a finding transports only as far as its effect modifiers and sampling frame allow, so the audit must name the deciding difference, not just call the sample unrepresentative. This audit is the Week 8 milestone.</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8 and read the milestone aloud.</w:t>
      </w:r>
    </w:p>
    <w:p>
      <w:pPr>
        <w:pStyle w:val="ListParagraph"/>
        <w:numPr>
          <w:ilvl w:val="0"/>
          <w:numId w:val="8"/>
        </w:numPr>
        <w:spacing w:after="40" w:line="258"/>
      </w:pPr>
      <w:r>
        <w:t xml:space="preserve">Students run the external-validity audit across their studies.</w:t>
      </w:r>
    </w:p>
    <w:p>
      <w:pPr>
        <w:pStyle w:val="ListParagraph"/>
        <w:numPr>
          <w:ilvl w:val="0"/>
          <w:numId w:val="8"/>
        </w:numPr>
        <w:spacing w:after="40" w:line="258"/>
      </w:pPr>
      <w:r>
        <w:t xml:space="preserve">Circulate and ask each student to name the effect modifier that most limits transport.</w:t>
      </w:r>
    </w:p>
    <w:p>
      <w:pPr>
        <w:pStyle w:val="ListParagraph"/>
        <w:numPr>
          <w:ilvl w:val="0"/>
          <w:numId w:val="8"/>
        </w:numPr>
        <w:spacing w:after="40" w:line="258"/>
      </w:pPr>
      <w:r>
        <w:t xml:space="preserve">Mini-conference prompt: 'Who is missing from these samples, and does that change the conclusion for your question?'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8) for the brief and rubric.</w:t>
            </w:r>
          </w:p>
        </w:tc>
      </w:tr>
    </w:tbl>
    <w:p>
      <w:pPr>
        <w:pStyle w:val="Heading3"/>
      </w:pPr>
      <w:r>
        <w:t xml:space="preserve">Exit ticket and preview</w:t>
      </w:r>
    </w:p>
    <w:p>
      <w:pPr>
        <w:spacing w:after="90" w:before="0" w:line="260"/>
      </w:pPr>
      <w:r>
        <w:t xml:space="preserve">Name one population your evidence does not transport to and why. Complete the Lesson 9 module before next class.</w:t>
      </w:r>
    </w:p>
    <w:p>
      <w:pPr>
        <w:pStyle w:val="Heading3"/>
      </w:pPr>
      <w:r>
        <w:t xml:space="preserve">Instructor preparation</w:t>
      </w:r>
    </w:p>
    <w:p>
      <w:pPr>
        <w:pStyle w:val="ListParagraph"/>
        <w:numPr>
          <w:ilvl w:val="0"/>
          <w:numId w:val="2"/>
        </w:numPr>
        <w:spacing w:after="40" w:line="258"/>
      </w:pPr>
      <w:r>
        <w:t xml:space="preserve">Berkson warm-up slide.</w:t>
      </w:r>
    </w:p>
    <w:p>
      <w:pPr>
        <w:pStyle w:val="ListParagraph"/>
        <w:numPr>
          <w:ilvl w:val="0"/>
          <w:numId w:val="2"/>
        </w:numPr>
        <w:spacing w:after="40" w:line="258"/>
      </w:pPr>
      <w:r>
        <w:t xml:space="preserve">Mechanism and scenario cards; a transportability slide.</w:t>
      </w:r>
    </w:p>
    <w:p>
      <w:pPr>
        <w:pStyle w:val="ListParagraph"/>
        <w:numPr>
          <w:ilvl w:val="0"/>
          <w:numId w:val="2"/>
        </w:numPr>
        <w:spacing w:after="40" w:line="258"/>
      </w:pPr>
      <w:r>
        <w:t xml:space="preserve">A study and the external-validity audit sheet on Canvas.</w:t>
      </w:r>
    </w:p>
    <w:p>
      <w:pPr>
        <w:pStyle w:val="ListParagraph"/>
        <w:numPr>
          <w:ilvl w:val="0"/>
          <w:numId w:val="2"/>
        </w:numPr>
        <w:spacing w:after="40" w:line="258"/>
      </w:pPr>
      <w:r>
        <w:t xml:space="preserve">Open the term-project document to Week 8.</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230 · Lesson 8 · Sampling Selection and External Validity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2026-06-16T15:53:16.214Z</dcterms:created>
  <dcterms:modified xsi:type="dcterms:W3CDTF">2026-06-16T15:53:16.214Z</dcterms:modified>
</cp:coreProperties>
</file>

<file path=docProps/custom.xml><?xml version="1.0" encoding="utf-8"?>
<Properties xmlns="http://schemas.openxmlformats.org/officeDocument/2006/custom-properties" xmlns:vt="http://schemas.openxmlformats.org/officeDocument/2006/docPropsVTypes"/>
</file>