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230: Evaluating Epidemiological Research</w:t>
      </w:r>
    </w:p>
    <w:p>
      <w:pPr>
        <w:pStyle w:val="Heading2"/>
      </w:pPr>
      <w:r>
        <w:t xml:space="preserve">Lesson 3 · Introduction to Observational Studies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3  ·  Three-hour session</w:t>
      </w:r>
    </w:p>
    <w:p>
      <w:pPr>
        <w:spacing w:after="90" w:before="0" w:line="260"/>
      </w:pPr>
      <w:r>
        <w:t xml:space="preserve">Classify the observational designs and judge when a descriptive or cross-sectional study is the right tool, and when it cannot answer the question. The substitute can run this from the cues below without prior design training.</w:t>
      </w:r>
    </w:p>
    <w:p>
      <w:pPr>
        <w:pStyle w:val="Heading3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Differentiate between descriptive and explanatory studies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Differentiate between experimental and observational studies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Describe the three main elements of the unified approach to observational study design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Describe the advantages and limitations of case reports, case-series reports, and surveys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Design a cross-sectional study accounting for its strengths and weaknesses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Identify circumstances where a cross-sectional study is appropriate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List three approaches for obtaining incidence estimates from cross-sectional prevalence data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Differentiate between repeated cross-sectional studies and following a cohort in a longitudinal study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Apply the STROBE checklist to reporting a cross-sectional study</w:t>
      </w:r>
    </w:p>
    <w:p>
      <w:pPr>
        <w:pStyle w:val="Heading3"/>
      </w:pPr>
      <w:r>
        <w:t xml:space="preserve">Before class (flipped preparation)</w:t>
      </w:r>
    </w:p>
    <w:p>
      <w:pPr>
        <w:spacing w:after="90" w:before="0" w:line="260"/>
      </w:pPr>
      <w:r>
        <w:t xml:space="preserve">Students complete the Lesson 3 module and its narrated walkthrough, attempt the in-module checks and reflection prompts, and bring their notes and term-project materials. No pre-reading beyond the module is required to follow this plan.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Arrival and retrieval warm-up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Low-stakes retrieval on the pre-class module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0:46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Co-construction 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Rebuild the week's key ideas (scripted activities below)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0:46 – 0:58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Question-and-answer clinic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Field the anticipated questions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0:58 – 1:08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1:08 – 1:48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Applied exercise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Hands-on task with an answer key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1:48 – 2:36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Supervised term-project work (see term-project document)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2:36 – 2:41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Exit ticket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Capture a takeaway; preview next module</w:t>
            </w:r>
          </w:p>
        </w:tc>
      </w:tr>
    </w:tbl>
    <w:p>
      <w:pPr>
        <w:pStyle w:val="Heading3"/>
      </w:pPr>
      <w:r>
        <w:t xml:space="preserve">1 · Retrieval warm-up — Four studies, two questions (10 min)</w:t>
      </w:r>
    </w:p>
    <w:p>
      <w:pPr>
        <w:spacing w:after="90" w:before="0" w:line="260"/>
      </w:pPr>
      <w:r>
        <w:rPr>
          <w:b/>
          <w:bCs/>
        </w:rPr>
        <w:t xml:space="preserve">Set-up. </w:t>
      </w:r>
      <w:r>
        <w:t xml:space="preserve">Slide with four one-line study descriptions (mix of descriptive vs explanatory and observational vs experimental).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For each study, students decide two things: is it descriptive or explanatory, and is it observational or experimental (two minutes).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Poll each; resolve disagreements using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to surface (facilitator notes):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Descriptive answers who, what, where, when (distribution); explanatory tests a hypothesised cause-effect relationship.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Experimental means the investigator assigns the exposure; observational means nature or choice assigns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 study can be observational and explanatory (a cohort testing a hypothesis), so the two axes are independent.</w:t>
            </w:r>
          </w:p>
        </w:tc>
      </w:tr>
    </w:tbl>
    <w:p>
      <w:pPr>
        <w:pStyle w:val="Heading3"/>
      </w:pPr>
      <w:r>
        <w:t xml:space="preserve">2 · Co-construction review (36 min)</w:t>
      </w:r>
    </w:p>
    <w:p>
      <w:pPr>
        <w:pStyle w:val="Heading4"/>
      </w:pPr>
      <w:r>
        <w:t xml:space="preserve">Activity 1: Design classification card sort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Card sort, pairs  ·  18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Cards naming designs (case report, case series, cross-sectional/survey, case-control, cohort, ecological, randomized trial) and a grid drawn on the board.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Pairs place each design by two features: does the investigator assign exposure, and does the design follow people over time?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Pairs defend the two hardest placements to a neighbouring pair.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Build the consensus grid on the board.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Sort these designs by whether the investigator assigns the exposure and whether the design follows people over time.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Only the randomized trial assigns exposure; all the others are observational.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Cohort follows people forward over time; case-control looks back from outcome to exposure; cross-sectional is a snapshot with no time direction.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Ecological uses group-level data, not individuals, which sets up Lesson 6.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Keep the grid on the board; students will revisit it through Lessons 4 to 6.</w:t>
      </w:r>
    </w:p>
    <w:p>
      <w:pPr>
        <w:pStyle w:val="Heading4"/>
      </w:pPr>
      <w:r>
        <w:t xml:space="preserve">Activity 2: Cross-sectional build and the prevalence trap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Small-group design, then discussion  ·  18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One prompt question on the board, e.g., 'What share of first-year students have untreated dental decay, and is it linked to insurance status?'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Groups design a quick cross-sectional study for the prompt: who, sampled how, measuring what, at one time point (six minutes).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Each group states one thing the design can establish and one it cannot.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Introduce why a snapshot struggles with cause and with fast-moving disease.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Design a one-snapshot study to answer this, then tell me what it can and cannot establish.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Cross-sectional measures prevalence and can show association, but cannot establish that exposure preceded outcome (temporality).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It misses short or rapidly fatal conditions, because prevalence reflects both incidence and duration.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Three routes to incidence from prevalence: repeat the survey over time, use prevalence with average duration (P is roughly incidence times duration in steady state), or follow a cohort instead.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note whether any of their candidate evidence is cross-sectional and what that limits.</w:t>
      </w:r>
    </w:p>
    <w:p>
      <w:pPr>
        <w:pStyle w:val="Heading3"/>
      </w:pPr>
      <w:r>
        <w:t xml:space="preserve">3 · Question-and-answer clinic (12 min)</w:t>
      </w:r>
    </w:p>
    <w:p>
      <w:pPr>
        <w:spacing w:after="50" w:before="0" w:line="260"/>
      </w:pPr>
      <w:r>
        <w:t xml:space="preserve">Invite the points students flagged in their pre-class prep. The questions below are the ones most likely to come up; model answers follow each so you can field them cold.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Prevalence vs incidence: why does the difference matter so much?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Incidence is the rate of new cases over time; prevalence is the share of existing cases at a moment. Prevalence equals incidence times average duration in steady state, so a high prevalence can reflect either many new cases or a long-lasting condition. Confusing them leads to wrong conclusions about risk and about what an intervention changed.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Why can't a cross-sectional study show causation?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It measures exposure and outcome at the same instant, so you usually cannot tell which came first. Reverse causation is wide open: the outcome may have changed the exposure. It is excellent for describing distribution and generating hypotheses, not for confirming cause.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What is STROBE and do students need to memorise it?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STROBE is a reporting checklist for observational studies (cohort, case-control, cross-sectional). They do not memorise it; they use it as a lens to ask whether a paper reported what it should have. We apply it today on a real report.</w:t>
      </w:r>
    </w:p>
    <w:p>
      <w:pPr>
        <w:pStyle w:val="Heading3"/>
      </w:pPr>
      <w:r>
        <w:t xml:space="preserve">4 · Applied exercise — STROBE spot-check: auditing a cross-sectional report (40 min)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one-page excerpt from a (fictional, self-contained) cross-sectional report is provided below, together with a trimmed ten-item STROBE checklist. Nothing needs to be searched for; the excerpt and checklist are all you need.
EXCERPT — "Sleep duration and self-reported anxiety among undergraduates: a cross-sectional survey."
Methods (verbatim): "We posted a link to an online questionnaire on three university social-media pages in March 2024. The first 500 students who responded were included. The questionnaire asked how many hours they usually sleep and whether they 'often feel anxious' (yes/no). We compared the proportion reporting anxiety between students sleeping under 6 hours and those sleeping 6 hours or more."
Results (verbatim): "Of 500 respondents, 220 reported sleeping under 6 hours. Anxiety was reported by 132 of the 220 short sleepers (60%) and by 84 of the 280 longer sleepers (30%). The difference was statistically significant. We conclude that short sleep causes anxiety in undergraduates and recommend campus sleep programmes."
TRIMMED 10-ITEM STROBE CHECKLIST.
1. Title/abstract states design (cross-sectional).
2. Background/objectives stated.
3. Setting, locations, and dates given.
4. Source population and how participants were selected (sampling frame).
5. Eligibility criteria.
6. Variables clearly defined (exposure and outcome).
7. Measurement: how exposure and outcome were measured (validity).
8. Response rate / number approached vs. included.
9. Results: numbers and an appropriate effect measure with precision.
10. Limitations, including direction of potential bias and reverse causation.</w:t>
      </w:r>
    </w:p>
    <w:p>
      <w:pPr>
        <w:spacing w:after="90" w:before="0" w:line="260"/>
      </w:pPr>
      <w:r>
        <w:rPr>
          <w:b/>
          <w:bCs/>
        </w:rPr>
        <w:t xml:space="preserve">Task (for students). </w:t>
      </w:r>
      <w:r>
        <w:t xml:space="preserve">Audit the provided excerpt against the ten-item STROBE checklist. Mark each item as Met, Missing, or Fudged, then name the single omission that most threatens the study's credibility and state the specific bias it hides.</w:t>
      </w:r>
    </w:p>
    <w:p>
      <w:pPr>
        <w:spacing w:after="30" w:before="0" w:line="260"/>
      </w:pPr>
      <w:r>
        <w:rPr>
          <w:b/>
          <w:bCs/>
        </w:rPr>
        <w:t xml:space="preserve">Student instructions: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Read the excerpt once for the claim, then re-read the Methods for how participants were found and how sleep and anxiety were measured.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Go through the ten checklist items in order. For each, write Met, Missing, or Fudged, with a four-to-six word reason drawn from the excerpt.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Flag any item where wording sounds complete but hides a gap (for example, '500 respondents' given with no count of how many were approached is a Fudged item 8).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Check item 10 specifically: does the report acknowledge that anxious students might sleep less (reverse causation), or that a social-media convenience sample is not the source population?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Across your Missing and Fudged items, pick the single one that most undermines the causal conclusion and name the bias it conceals.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Write a one-sentence verdict in the form: 'The most damaging omission is X, because it hides Y.'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Compare verdicts with a neighbouring group and reconcile any disagreement about which omission ranks first.</w:t>
      </w:r>
    </w:p>
    <w:p>
      <w:pPr>
        <w:pStyle w:val="Heading4"/>
      </w:pPr>
      <w:r>
        <w:t xml:space="preserve">Worked example — present to students</w:t>
      </w:r>
    </w:p>
    <w:p>
      <w:pPr>
        <w:spacing w:after="90" w:before="0" w:line="260"/>
      </w:pPr>
      <w:r>
        <w:rPr>
          <w:b/>
          <w:bCs/>
        </w:rPr>
        <w:t xml:space="preserve">Given. </w:t>
      </w:r>
      <w:r>
        <w:t xml:space="preserve">A cross-sectional report studies whether vitamin use is associated with self-rated health. Methods: "We surveyed 300 shoppers leaving a health-food store on weekday mornings, asking whether they take daily vitamins and to rate their health as good or poor." Results: "240 of 300 took vitamins; 90% of vitamin users rated their health good versus 55% of non-users. Vitamins improve health." The report gives no source population, no count of people approached, and no limitations.</w:t>
      </w:r>
    </w:p>
    <w:p>
      <w:pPr>
        <w:spacing w:after="20" w:before="0" w:line="260"/>
      </w:pPr>
      <w:r>
        <w:rPr>
          <w:b/>
          <w:bCs/>
        </w:rPr>
        <w:t xml:space="preserve">Solution (walk through on the board):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Item 3 (setting/dates): partly Met. The location is given (a health-food store, weekday mornings) but no calendar dates.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Item 4 (source population/sampling frame): Missing. Shoppers at one health-food store are a convenience sample, not a defined population; who is represented is unstated.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Item 8 (response rate): Missing. We are told 300 were surveyed but not how many were approached, so non-response cannot be judged.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Item 10 (limitations/reverse causation): Missing. No acknowledgement that healthier or wealthier people self-select into a health-food store, nor that the design cannot show direction.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Ranking: among the missing items, the undefined source population (item 4) is most damaging because the sample is pre-selected for health-consciousness, which inflates the vitamin-health association.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Answer:</w:t>
            </w:r>
          </w:p>
          <w:p>
            <w:pPr>
              <w:spacing w:after="0" w:before="0" w:line="260"/>
            </w:pPr>
            <w:r>
              <w:t xml:space="preserve">The most damaging omission is the missing source population and sampling frame (item 4), because it hides selection bias: health-food-store shoppers are systematically healthier and more health-conscious than the general population, so the vitamin-health link is exaggerated rather than estimated.</w:t>
            </w:r>
          </w:p>
        </w:tc>
      </w:tr>
    </w:tbl>
    <w:p>
      <w:pPr>
        <w:pStyle w:val="Heading4"/>
      </w:pPr>
      <w:r>
        <w:t xml:space="preserve">Assignment practice — hand out</w:t>
      </w:r>
    </w:p>
    <w:p>
      <w:pPr>
        <w:spacing w:after="20" w:before="0" w:line="260"/>
      </w:pPr>
      <w:r>
        <w:rPr>
          <w:b/>
          <w:bCs/>
          <w:color w:val="065C50"/>
        </w:rPr>
        <w:t xml:space="preserve">Practice 1: the main excerpt (sleep and anxiety).  </w:t>
      </w:r>
      <w:r>
        <w:t xml:space="preserve">Use the sleep-and-anxiety excerpt from the materials above. Methods: link posted on three university social-media pages, March 2024, first 500 respondents included; sleep self-reported in hours; anxiety from a single yes/no item ('often feel anxious'). Results: 132/220 short sleepers (60%) versus 84/280 longer sleepers (30%) reported anxiety; difference significant; authors conclude short sleep causes anxiety.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Mark items 4, 7, 8, and 10 as Met, Missing, or Fudged with a brief reason, then name the single omission that most threatens the study's credibility and the bias it hides.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Item 4 (source population/sampling frame): Fudged/Missing. The frame is whoever saw three social-media posts and chose to click, a self-selected convenience sample, not a defined undergraduate population. Item 7 (measurement/validity): Missing. A single unvalidated yes/no anxiety item and self-reported sleep, with no validated instrument, so outcome measurement is weak. Item 8 (response rate): Missing/Fudged. '500 respondents' is reported but not how many saw or were approached, so the response rate is unknown and non-response bias cannot be judged. Item 10 (limitations/reverse causation): Missing. No limitations section; critically, the design cannot distinguish short sleep causing anxiety from anxiety causing short sleep (reverse causation), and the causal conclusion is unsupported. Most damaging omission: the absence of any limitation acknowledging reverse causation (item 10), because a cross-sectional design measures exposure and outcome at the same time and cannot establish that short sleep precedes (let alone causes) anxiety; anxious students plausibly sleep less. Selection bias from the social-media convenience sample (item 4) is a strong second. The 60% versus 30% contrast (a prevalence ratio of 2.0) is real in the sample but cannot bear the word 'causes'.</w:t>
            </w:r>
          </w:p>
        </w:tc>
      </w:tr>
    </w:tbl>
    <w:p>
      <w:pPr>
        <w:spacing w:after="20" w:before="0" w:line="260"/>
      </w:pPr>
      <w:r>
        <w:rPr>
          <w:b/>
          <w:bCs/>
          <w:color w:val="065C50"/>
        </w:rPr>
        <w:t xml:space="preserve">Practice 2: a screening-survey excerpt.  </w:t>
      </w:r>
      <w:r>
        <w:t xml:space="preserve">A cross-sectional report: "Hearing loss and social isolation in older adults." Methods: "We mailed a questionnaire to all 4,000 residents aged 65+ on a regional registry in 2023; 2,600 returned it (65%). Hearing loss was defined by a validated 10-item screening scale; social isolation by the validated Lubben Social Network Scale. We report the prevalence ratio of isolation comparing those who screened positive versus negative for hearing loss." Results: "Isolation prevalence was 28% among those screening positive for hearing loss and 14% among those screening negative (prevalence ratio 2.0, 95% CI 1.7 to 2.4)." Limitations: "Cross-sectional design cannot establish temporality; non-responders may differ from responders."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Mark items 4, 7, 8, and 10 as Met, Missing, or Fudged with a brief reason, then state whether this report is more credible than the sleep-and-anxiety report and why.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Item 4 (source population/sampling frame): Met. The source population is defined (all registry residents aged 65+) and the sampling frame is the full registry, so the population represented is clear. Item 7 (measurement/validity): Met. Both exposure and outcome use named validated instruments (a 10-item hearing screen; the Lubben scale), unlike a single unvalidated yes/no item. Item 8 (response rate): Met. 2,600 of 4,000 returned the questionnaire, an explicit 65% response rate. Item 10 (limitations/reverse causation): Met. The report states the design cannot establish temporality and flags possible non-response differences. Verdict: this report is clearly more credible than the sleep-and-anxiety report. It defines its population, uses validated measures, reports a response rate, gives an effect measure with a confidence interval (prevalence ratio 2.0, 95% CI 1.7 to 2.4), and acknowledges the temporality and non-response limitations rather than leaping to causation. The remaining concern is the same inherent one for any cross-sectional study: the prevalence ratio is an association, and the 65% response rate still leaves room for non-response bias, which the authors appropriately flag rather than conceal.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good work looks like:</w:t>
            </w:r>
          </w:p>
          <w:p>
            <w:pPr>
              <w:spacing w:after="0" w:before="0" w:line="260"/>
            </w:pPr>
            <w:r>
              <w:t xml:space="preserve">There is no single perfect answer key for the rankings, but every item mark must cite a phrase from the excerpt, and the named most-damaging omission must be tied to a specific bias. For the sleep-and-anxiety excerpt, strong work flags item 10 (no limitations / reverse causation) and item 4 (social-media convenience sample) as the worst, recognises item 7 (single unvalidated yes/no anxiety item, self-reported sleep) as weak measurement, and notes item 8 (respondents reported but denominator approached unknown). The 60% vs 30% figures give a correct sample prevalence ratio of 2.0, which is real but only associational; do not let students restate the authors' word 'causes'. Common errors to correct: accepting the causal conclusion because the difference is 'statistically significant'; marking item 8 Met because a number (500) appears, when the denominator approached is missing (that is Fudged, not Met); confusing missing limitations with a study that has no limitations; ranking reverse causation below minor reporting gaps. The screening-survey assignment is the contrast case where the same prevalence ratio of 2.0 is reported responsibly (defined frame, validated scales, 65% response, CI, honest limitations), so students see that good reporting and bad reporting can carry the identical number.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Debrief. </w:t>
      </w:r>
      <w:r>
        <w:t xml:space="preserve">Each missing STROBE item hides a specific threat to validity; the sleep report's fatal flaw is reverse causation dressed as causation, which is exactly the appraisal habit the term project rewards.</w:t>
      </w:r>
    </w:p>
    <w:p>
      <w:pPr>
        <w:pStyle w:val="Heading3"/>
      </w:pPr>
      <w:r>
        <w:t xml:space="preserve">5 · Capstone studio (48 min)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Open the term-project document to Part 2, Week 3 and read the milestone aloud.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Students lock their review question and draft a reproducible search strategy (databases, terms, limits).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Circulate with one test: 'Hand your search to the next group; can they run it and get your number of hits?'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Mini-conference prompt: 'What will you do with the studies your search misses?'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Source (do not reproduce here):</w:t>
            </w:r>
          </w:p>
          <w:p>
            <w:pPr>
              <w:spacing w:after="0" w:before="0" w:line="260"/>
            </w:pPr>
            <w:r>
              <w:t xml:space="preserve">Use the term-project document (Part 2, Week 3) as the live source for the brief and rubric.</w:t>
            </w:r>
          </w:p>
        </w:tc>
      </w:tr>
    </w:tbl>
    <w:p>
      <w:pPr>
        <w:pStyle w:val="Heading3"/>
      </w:pPr>
      <w:r>
        <w:t xml:space="preserve">Exit ticket and preview</w:t>
      </w:r>
    </w:p>
    <w:p>
      <w:pPr>
        <w:spacing w:after="90" w:before="0" w:line="260"/>
      </w:pPr>
      <w:r>
        <w:t xml:space="preserve">Name your study design in one phrase and the single biggest threat you expect it to face. Complete the Lesson 4 module on case-control studies before next class.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Slide with the four warm-up studies.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Design cards and a grid on the board.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A short cross-sectional report and a STROBE checklist on Canvas.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term-project document to Week 3.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230 · Lesson 3 · Introduction to Observational Studies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2026-06-16T15:53:16.041Z</dcterms:created>
  <dcterms:modified xsi:type="dcterms:W3CDTF">2026-06-16T15:53:16.041Z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