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230: Evaluating Epidemiological Research</w:t>
      </w:r>
    </w:p>
    <w:p>
      <w:pPr>
        <w:pStyle w:val="Heading2"/>
      </w:pPr>
      <w:r>
        <w:t xml:space="preserve">Final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Examination period  ·  Scheduled by the Registrar</w:t>
      </w:r>
    </w:p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examination in the formal examination period covering Lessons 7 to 12 (measurement and causal specification; sampling and external validity; information bias; design-specific and temporal biases; confounding and statistical inference; and integrated appraisal). The paper centres on diagnosing threats to validity in study vignettes.</w:t>
      </w:r>
    </w:p>
    <w:p>
      <w:pPr>
        <w:spacing w:after="90" w:before="0" w:line="260"/>
      </w:pPr>
      <w:r>
        <w:rPr>
          <w:b/>
          <w:bCs/>
        </w:rPr>
        <w:t xml:space="preserve">Term project. </w:t>
      </w:r>
      <w:r>
        <w:t xml:space="preserve">The final The Critical Appraisal Portfolio deliverable and the peer review are due at the end of term, as set out in the term-project document. Hold studio time in the final teaching week for assembly.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Prepare the final examination and marking key for Lessons 7 to 12.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Confirm the Registrar-scheduled date, time, and room.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final-deliverable and peer-review rubrics (term-project document).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230 · Final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2026-06-16T15:53:16.408Z</dcterms:created>
  <dcterms:modified xsi:type="dcterms:W3CDTF">2026-06-16T15:53:16.408Z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