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12 · Disability Diversity and Integrating Foundations</w:t>
      </w:r>
    </w:p>
    <w:p>
      <w:pPr>
        <w:spacing w:after="70" w:before="0" w:line="260"/>
      </w:pPr>
      <w:r>
        <w:rPr>
          <w:i/>
          <w:iCs/>
          <w:color w:val="555555"/>
        </w:rPr>
        <w:t xml:space="preserve">Term week 13  ·  Three-hour session</w:t>
      </w:r>
    </w:p>
    <w:p>
      <w:pPr>
        <w:spacing w:after="90" w:before="0" w:line="260"/>
      </w:pPr>
      <w:r>
        <w:t xml:space="preserve">Work through models of disability and ableism, then pull the term's determinants together into one integrated account. This session launches the final biography and op-ed.</w:t>
      </w:r>
    </w:p>
    <w:p>
      <w:pPr>
        <w:pStyle w:val="Heading3"/>
      </w:pPr>
      <w:r>
        <w:t xml:space="preserve">Learning objectives</w:t>
      </w:r>
    </w:p>
    <w:p>
      <w:pPr>
        <w:pStyle w:val="ListParagraph"/>
        <w:numPr>
          <w:ilvl w:val="0"/>
          <w:numId w:val="2"/>
        </w:numPr>
        <w:spacing w:after="40" w:line="258"/>
      </w:pPr>
      <w:r>
        <w:t xml:space="preserve">Distinguish the medical, social, and biopsychosocial models of disability</w:t>
      </w:r>
    </w:p>
    <w:p>
      <w:pPr>
        <w:pStyle w:val="ListParagraph"/>
        <w:numPr>
          <w:ilvl w:val="0"/>
          <w:numId w:val="2"/>
        </w:numPr>
        <w:spacing w:after="40" w:line="258"/>
      </w:pPr>
      <w:r>
        <w:t xml:space="preserve">Recount the major milestones in disability rights history</w:t>
      </w:r>
    </w:p>
    <w:p>
      <w:pPr>
        <w:pStyle w:val="ListParagraph"/>
        <w:numPr>
          <w:ilvl w:val="0"/>
          <w:numId w:val="2"/>
        </w:numPr>
        <w:spacing w:after="40" w:line="258"/>
      </w:pPr>
      <w:r>
        <w:t xml:space="preserve">Identify ableism and its measurable effects on health outcomes</w:t>
      </w:r>
    </w:p>
    <w:p>
      <w:pPr>
        <w:pStyle w:val="ListParagraph"/>
        <w:numPr>
          <w:ilvl w:val="0"/>
          <w:numId w:val="2"/>
        </w:numPr>
        <w:spacing w:after="40" w:line="258"/>
      </w:pPr>
      <w:r>
        <w:t xml:space="preserve">Articulate the WHO ICF framework</w:t>
      </w:r>
    </w:p>
    <w:p>
      <w:pPr>
        <w:pStyle w:val="ListParagraph"/>
        <w:numPr>
          <w:ilvl w:val="0"/>
          <w:numId w:val="2"/>
        </w:numPr>
        <w:spacing w:after="40" w:line="258"/>
      </w:pPr>
      <w:r>
        <w:t xml:space="preserve">Recognize disability as a thread through every prior this course module</w:t>
      </w:r>
    </w:p>
    <w:p>
      <w:pPr>
        <w:pStyle w:val="ListParagraph"/>
        <w:numPr>
          <w:ilvl w:val="0"/>
          <w:numId w:val="2"/>
        </w:numPr>
        <w:spacing w:after="40" w:line="258"/>
      </w:pPr>
      <w:r>
        <w:t xml:space="preserve">Integrate the course content into a coherent foundational understanding</w:t>
      </w:r>
    </w:p>
    <w:p>
      <w:pPr>
        <w:pStyle w:val="ListParagraph"/>
        <w:numPr>
          <w:ilvl w:val="0"/>
          <w:numId w:val="2"/>
        </w:numPr>
        <w:spacing w:after="40" w:line="258"/>
      </w:pPr>
      <w:r>
        <w:t xml:space="preserve">Articulate how this course prepares students for later courses</w:t>
      </w:r>
    </w:p>
    <w:p>
      <w:pPr>
        <w:pStyle w:val="ListParagraph"/>
        <w:numPr>
          <w:ilvl w:val="0"/>
          <w:numId w:val="2"/>
        </w:numPr>
        <w:spacing w:after="40" w:line="258"/>
      </w:pPr>
      <w:r>
        <w:t xml:space="preserve">Reflect on your own working definition of health after the course</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model is talking? (10 min)</w:t>
      </w:r>
    </w:p>
    <w:p>
      <w:pPr>
        <w:spacing w:after="90" w:before="0" w:line="260"/>
      </w:pPr>
      <w:r>
        <w:rPr>
          <w:b/>
          <w:bCs/>
        </w:rPr>
        <w:t xml:space="preserve">Set-up. </w:t>
      </w:r>
      <w:r>
        <w:t xml:space="preserve">Slide with three statements about disability, each reflecting a medical, social, or interactional model.</w:t>
      </w:r>
    </w:p>
    <w:p>
      <w:pPr>
        <w:spacing w:after="30" w:before="0" w:line="260"/>
      </w:pPr>
      <w:r>
        <w:rPr>
          <w:b/>
          <w:bCs/>
        </w:rPr>
        <w:t xml:space="preserve">Run it:</w:t>
      </w:r>
    </w:p>
    <w:p>
      <w:pPr>
        <w:pStyle w:val="ListParagraph"/>
        <w:numPr>
          <w:ilvl w:val="0"/>
          <w:numId w:val="3"/>
        </w:numPr>
        <w:spacing w:after="40" w:line="258"/>
      </w:pPr>
      <w:r>
        <w:t xml:space="preserve">Students label each statement with the model behind it (three minutes).</w:t>
      </w:r>
    </w:p>
    <w:p>
      <w:pPr>
        <w:pStyle w:val="ListParagraph"/>
        <w:numPr>
          <w:ilvl w:val="0"/>
          <w:numId w:val="3"/>
        </w:numPr>
        <w:spacing w:after="40" w:line="258"/>
      </w:pPr>
      <w:r>
        <w:t xml:space="preserve">Surface the distinctions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Medical model: disability is an individual deficit to be cured or fixed.</w:t>
            </w:r>
          </w:p>
          <w:p>
            <w:pPr>
              <w:pStyle w:val="ListParagraph"/>
              <w:numPr>
                <w:ilvl w:val="0"/>
                <w:numId w:val="2"/>
              </w:numPr>
              <w:spacing w:after="30" w:line="258"/>
            </w:pPr>
            <w:r>
              <w:t xml:space="preserve">Social model: disability arises from a society that fails to accommodate difference (stairs, not legs, disable a wheelchair user).</w:t>
            </w:r>
          </w:p>
          <w:p>
            <w:pPr>
              <w:pStyle w:val="ListParagraph"/>
              <w:numPr>
                <w:ilvl w:val="0"/>
                <w:numId w:val="2"/>
              </w:numPr>
              <w:spacing w:after="30" w:line="258"/>
            </w:pPr>
            <w:r>
              <w:t xml:space="preserve">Interactional model: disability emerges from the interaction of body and environment; both matter.</w:t>
            </w:r>
          </w:p>
        </w:tc>
      </w:tr>
    </w:tbl>
    <w:p>
      <w:pPr>
        <w:pStyle w:val="Heading3"/>
      </w:pPr>
      <w:r>
        <w:t xml:space="preserve">2 · Co-construction review (34 min)</w:t>
      </w:r>
    </w:p>
    <w:p>
      <w:pPr>
        <w:pStyle w:val="Heading4"/>
      </w:pPr>
      <w:r>
        <w:t xml:space="preserve">Activity 1: Compare models on a real scenario</w:t>
      </w:r>
    </w:p>
    <w:p>
      <w:pPr>
        <w:spacing w:after="30" w:before="0" w:line="260"/>
      </w:pPr>
      <w:r>
        <w:rPr>
          <w:i/>
          <w:iCs/>
          <w:color w:val="555555"/>
          <w:sz w:val="18"/>
          <w:szCs w:val="18"/>
        </w:rPr>
        <w:t xml:space="preserve">Comparison, pairs  ·  16 min</w:t>
      </w:r>
    </w:p>
    <w:p>
      <w:pPr>
        <w:spacing w:after="90" w:before="0" w:line="260"/>
      </w:pPr>
      <w:r>
        <w:rPr>
          <w:b/>
          <w:bCs/>
        </w:rPr>
        <w:t xml:space="preserve">Materials. </w:t>
      </w:r>
      <w:r>
        <w:t xml:space="preserve">A concrete access scenario (a student who uses a wheelchair and a building with stairs).</w:t>
      </w:r>
    </w:p>
    <w:p>
      <w:pPr>
        <w:spacing w:after="30" w:before="0" w:line="260"/>
      </w:pPr>
      <w:r>
        <w:rPr>
          <w:b/>
          <w:bCs/>
        </w:rPr>
        <w:t xml:space="preserve">Run it:</w:t>
      </w:r>
    </w:p>
    <w:p>
      <w:pPr>
        <w:pStyle w:val="ListParagraph"/>
        <w:numPr>
          <w:ilvl w:val="0"/>
          <w:numId w:val="4"/>
        </w:numPr>
        <w:spacing w:after="40" w:line="258"/>
      </w:pPr>
      <w:r>
        <w:t xml:space="preserve">Pairs describe how the medical and social models each frame the problem and the solution (six minutes).</w:t>
      </w:r>
    </w:p>
    <w:p>
      <w:pPr>
        <w:pStyle w:val="ListParagraph"/>
        <w:numPr>
          <w:ilvl w:val="0"/>
          <w:numId w:val="4"/>
        </w:numPr>
        <w:spacing w:after="40" w:line="258"/>
      </w:pPr>
      <w:r>
        <w:t xml:space="preserve">Pairs state what each model makes visible and what it hides.</w:t>
      </w:r>
    </w:p>
    <w:p>
      <w:pPr>
        <w:pStyle w:val="ListParagraph"/>
        <w:numPr>
          <w:ilvl w:val="0"/>
          <w:numId w:val="4"/>
        </w:numPr>
        <w:spacing w:after="40" w:line="258"/>
      </w:pPr>
      <w:r>
        <w:t xml:space="preserve">Connect to how framing drives intervention.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do the medical and social models each define the problem and the fix in this scenario?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Medical model locates the problem in the person and seeks individual adaptation or cure.</w:t>
            </w:r>
          </w:p>
          <w:p>
            <w:pPr>
              <w:pStyle w:val="ListParagraph"/>
              <w:numPr>
                <w:ilvl w:val="0"/>
                <w:numId w:val="2"/>
              </w:numPr>
              <w:spacing w:after="30" w:line="258"/>
            </w:pPr>
            <w:r>
              <w:t xml:space="preserve">Social model locates the problem in the inaccessible building and seeks environmental change (a ramp).</w:t>
            </w:r>
          </w:p>
          <w:p>
            <w:pPr>
              <w:pStyle w:val="ListParagraph"/>
              <w:numPr>
                <w:ilvl w:val="0"/>
                <w:numId w:val="2"/>
              </w:numPr>
              <w:spacing w:after="30" w:line="258"/>
            </w:pPr>
            <w:r>
              <w:t xml:space="preserve">Framing decides where intervention is aimed; the social model reframes many health 'deficits' as design failures.</w:t>
            </w:r>
          </w:p>
        </w:tc>
      </w:tr>
    </w:tbl>
    <w:p>
      <w:pPr>
        <w:spacing w:after="90" w:before="0" w:line="260"/>
      </w:pPr>
      <w:r>
        <w:rPr>
          <w:b/>
          <w:bCs/>
        </w:rPr>
        <w:t xml:space="preserve">Close. </w:t>
      </w:r>
      <w:r>
        <w:t xml:space="preserve">Students note how framing changes the intervention for their topic.</w:t>
      </w:r>
    </w:p>
    <w:p>
      <w:pPr>
        <w:pStyle w:val="Heading4"/>
      </w:pPr>
      <w:r>
        <w:t xml:space="preserve">Activity 2: Synthesis gallery walk</w:t>
      </w:r>
    </w:p>
    <w:p>
      <w:pPr>
        <w:spacing w:after="30" w:before="0" w:line="260"/>
      </w:pPr>
      <w:r>
        <w:rPr>
          <w:i/>
          <w:iCs/>
          <w:color w:val="555555"/>
          <w:sz w:val="18"/>
          <w:szCs w:val="18"/>
        </w:rPr>
        <w:t xml:space="preserve">Gallery walk, groups  ·  18 min</w:t>
      </w:r>
    </w:p>
    <w:p>
      <w:pPr>
        <w:spacing w:after="90" w:before="0" w:line="260"/>
      </w:pPr>
      <w:r>
        <w:rPr>
          <w:b/>
          <w:bCs/>
        </w:rPr>
        <w:t xml:space="preserve">Materials. </w:t>
      </w:r>
      <w:r>
        <w:t xml:space="preserve">Wall space for each student or group to post their topic's determinant map built over the term.</w:t>
      </w:r>
    </w:p>
    <w:p>
      <w:pPr>
        <w:spacing w:after="30" w:before="0" w:line="260"/>
      </w:pPr>
      <w:r>
        <w:rPr>
          <w:b/>
          <w:bCs/>
        </w:rPr>
        <w:t xml:space="preserve">Run it:</w:t>
      </w:r>
    </w:p>
    <w:p>
      <w:pPr>
        <w:pStyle w:val="ListParagraph"/>
        <w:numPr>
          <w:ilvl w:val="0"/>
          <w:numId w:val="5"/>
        </w:numPr>
        <w:spacing w:after="40" w:line="258"/>
      </w:pPr>
      <w:r>
        <w:t xml:space="preserve">Students post their multi-determinant map.</w:t>
      </w:r>
    </w:p>
    <w:p>
      <w:pPr>
        <w:pStyle w:val="ListParagraph"/>
        <w:numPr>
          <w:ilvl w:val="0"/>
          <w:numId w:val="5"/>
        </w:numPr>
        <w:spacing w:after="40" w:line="258"/>
      </w:pPr>
      <w:r>
        <w:t xml:space="preserve">The room tours the maps, leaving one question per poster on a sticky note (ten minutes).</w:t>
      </w:r>
    </w:p>
    <w:p>
      <w:pPr>
        <w:pStyle w:val="ListParagraph"/>
        <w:numPr>
          <w:ilvl w:val="0"/>
          <w:numId w:val="5"/>
        </w:numPr>
        <w:spacing w:after="40" w:line="258"/>
      </w:pPr>
      <w:r>
        <w:t xml:space="preserve">Authors read the questions left for them.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Tour your classmates' determinant maps and leave one sharp question on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exercise surfaces gaps and double-counting before the final write-up.</w:t>
            </w:r>
          </w:p>
          <w:p>
            <w:pPr>
              <w:pStyle w:val="ListParagraph"/>
              <w:numPr>
                <w:ilvl w:val="0"/>
                <w:numId w:val="2"/>
              </w:numPr>
              <w:spacing w:after="30" w:line="258"/>
            </w:pPr>
            <w:r>
              <w:t xml:space="preserve">Good questions probe weighting ('which of these matters most?') and evidence ('what is your source?').</w:t>
            </w:r>
          </w:p>
          <w:p>
            <w:pPr>
              <w:pStyle w:val="ListParagraph"/>
              <w:numPr>
                <w:ilvl w:val="0"/>
                <w:numId w:val="2"/>
              </w:numPr>
              <w:spacing w:after="30" w:line="258"/>
            </w:pPr>
            <w:r>
              <w:t xml:space="preserve">It models the peer feedback that strengthens the final biography.</w:t>
            </w:r>
          </w:p>
        </w:tc>
      </w:tr>
    </w:tbl>
    <w:p>
      <w:pPr>
        <w:spacing w:after="90" w:before="0" w:line="260"/>
      </w:pPr>
      <w:r>
        <w:rPr>
          <w:b/>
          <w:bCs/>
        </w:rPr>
        <w:t xml:space="preserve">Close. </w:t>
      </w:r>
      <w:r>
        <w:t xml:space="preserve">Students collect the questions left on their map to address in the final draft.</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combine twelve determinants without double-counting?</w:t>
      </w:r>
    </w:p>
    <w:p>
      <w:pPr>
        <w:spacing w:after="80" w:before="0" w:line="260"/>
      </w:pPr>
      <w:r>
        <w:rPr>
          <w:b/>
          <w:bCs/>
          <w:color w:val="0B7B6B"/>
        </w:rPr>
        <w:t xml:space="preserve">A.  </w:t>
      </w:r>
      <w:r>
        <w:t xml:space="preserve">Map them on a proximal-to-distal structure and note where one determinant acts through another (income through food access, say). Count a pathway once and show the links rather than listing causes as if they were independent. The DAG habit from the appraisal course helps here.</w:t>
      </w:r>
    </w:p>
    <w:p>
      <w:pPr>
        <w:spacing w:after="20" w:before="0" w:line="260"/>
      </w:pPr>
      <w:r>
        <w:rPr>
          <w:b/>
          <w:bCs/>
          <w:color w:val="A3002A"/>
        </w:rPr>
        <w:t xml:space="preserve">Q.  </w:t>
      </w:r>
      <w:r>
        <w:rPr>
          <w:b/>
          <w:bCs/>
        </w:rPr>
        <w:t xml:space="preserve">How do I weigh determinants that all seem to matter?</w:t>
      </w:r>
    </w:p>
    <w:p>
      <w:pPr>
        <w:spacing w:after="80" w:before="0" w:line="260"/>
      </w:pPr>
      <w:r>
        <w:rPr>
          <w:b/>
          <w:bCs/>
          <w:color w:val="0B7B6B"/>
        </w:rPr>
        <w:t xml:space="preserve">A.  </w:t>
      </w:r>
      <w:r>
        <w:t xml:space="preserve">Weight by the strength and consistency of evidence and by reach: an upstream cause that shapes many downstream ones usually deserves more weight. State your reasoning rather than implying everything matters equally; reality is lumpier than that.</w:t>
      </w:r>
    </w:p>
    <w:p>
      <w:pPr>
        <w:spacing w:after="20" w:before="0" w:line="260"/>
      </w:pPr>
      <w:r>
        <w:rPr>
          <w:b/>
          <w:bCs/>
          <w:color w:val="A3002A"/>
        </w:rPr>
        <w:t xml:space="preserve">Q.  </w:t>
      </w:r>
      <w:r>
        <w:rPr>
          <w:b/>
          <w:bCs/>
        </w:rPr>
        <w:t xml:space="preserve">Is ableism a health determinant or a social attitude?</w:t>
      </w:r>
    </w:p>
    <w:p>
      <w:pPr>
        <w:spacing w:after="80" w:before="0" w:line="260"/>
      </w:pPr>
      <w:r>
        <w:rPr>
          <w:b/>
          <w:bCs/>
          <w:color w:val="0B7B6B"/>
        </w:rPr>
        <w:t xml:space="preserve">A.  </w:t>
      </w:r>
      <w:r>
        <w:t xml:space="preserve">Both. Ableism shapes access to care, employment, and the built environment, producing measurable health disparities for disabled people. Treating it only as an attitude misses its structural, health-relevant effects.</w:t>
      </w:r>
    </w:p>
    <w:p>
      <w:pPr>
        <w:pStyle w:val="Heading3"/>
      </w:pPr>
      <w:r>
        <w:t xml:space="preserve">4 · Applied exercise — Weighting the determinants: which lenses carry a health topic (40 min)</w:t>
      </w:r>
    </w:p>
    <w:p>
      <w:pPr>
        <w:spacing w:after="90" w:before="0" w:line="260"/>
      </w:pPr>
      <w:r>
        <w:rPr>
          <w:b/>
          <w:bCs/>
        </w:rPr>
        <w:t xml:space="preserve">Materials. </w:t>
      </w:r>
      <w:r>
        <w:t xml:space="preserve">A one-page handout (provided below; nothing to look up). It lists the twelve determinant lenses from this course as a reference column, a short evidence dossier for one shared topic (childhood asthma) with a few real figures, and a blank weighting grid with three ranked rows. A pen is the only other thing needed; no term map or outside source is required.</w:t>
      </w:r>
    </w:p>
    <w:p>
      <w:pPr>
        <w:spacing w:after="90" w:before="0" w:line="260"/>
      </w:pPr>
      <w:r>
        <w:rPr>
          <w:b/>
          <w:bCs/>
        </w:rPr>
        <w:t xml:space="preserve">Task (for students). </w:t>
      </w:r>
      <w:r>
        <w:t xml:space="preserve">Using the evidence dossier on your handout, decide which three of the twelve course lenses carry the most explanatory weight for this health topic and rank them. For each, write one sentence that cites a figure or fact from the dossier, and name one lens that genuinely does not fit.</w:t>
      </w:r>
    </w:p>
    <w:p>
      <w:pPr>
        <w:spacing w:after="30" w:before="0" w:line="260"/>
      </w:pPr>
      <w:r>
        <w:rPr>
          <w:b/>
          <w:bCs/>
        </w:rPr>
        <w:t xml:space="preserve">Student instructions:</w:t>
      </w:r>
    </w:p>
    <w:p>
      <w:pPr>
        <w:pStyle w:val="ListParagraph"/>
        <w:numPr>
          <w:ilvl w:val="0"/>
          <w:numId w:val="6"/>
        </w:numPr>
        <w:spacing w:after="40" w:line="258"/>
      </w:pPr>
      <w:r>
        <w:t xml:space="preserve">Read the dossier and write the topic's core pattern in one line (who gets it, how often, what moves the rate).</w:t>
      </w:r>
    </w:p>
    <w:p>
      <w:pPr>
        <w:pStyle w:val="ListParagraph"/>
        <w:numPr>
          <w:ilvl w:val="0"/>
          <w:numId w:val="6"/>
        </w:numPr>
        <w:spacing w:after="40" w:line="258"/>
      </w:pPr>
      <w:r>
        <w:t xml:space="preserve">Run down the twelve lenses and mark each as strong, weak, or not applicable for this topic, using only the dossier evidence.</w:t>
      </w:r>
    </w:p>
    <w:p>
      <w:pPr>
        <w:pStyle w:val="ListParagraph"/>
        <w:numPr>
          <w:ilvl w:val="0"/>
          <w:numId w:val="6"/>
        </w:numPr>
        <w:spacing w:after="40" w:line="258"/>
      </w:pPr>
      <w:r>
        <w:t xml:space="preserve">Pick the three lenses you marked strongest and rank them 1 to 3 by how much of the pattern each explains.</w:t>
      </w:r>
    </w:p>
    <w:p>
      <w:pPr>
        <w:pStyle w:val="ListParagraph"/>
        <w:numPr>
          <w:ilvl w:val="0"/>
          <w:numId w:val="6"/>
        </w:numPr>
        <w:spacing w:after="40" w:line="258"/>
      </w:pPr>
      <w:r>
        <w:t xml:space="preserve">For each ranked lens, write one justifying sentence that quotes a specific figure or fact from the dossier, not a general claim.</w:t>
      </w:r>
    </w:p>
    <w:p>
      <w:pPr>
        <w:pStyle w:val="ListParagraph"/>
        <w:numPr>
          <w:ilvl w:val="0"/>
          <w:numId w:val="6"/>
        </w:numPr>
        <w:spacing w:after="40" w:line="258"/>
      </w:pPr>
      <w:r>
        <w:t xml:space="preserve">Name one lens that does not fit this topic and say in a few words why the evidence gives it little purchase.</w:t>
      </w:r>
    </w:p>
    <w:p>
      <w:pPr>
        <w:pStyle w:val="ListParagraph"/>
        <w:numPr>
          <w:ilvl w:val="0"/>
          <w:numId w:val="6"/>
        </w:numPr>
        <w:spacing w:after="40" w:line="258"/>
      </w:pPr>
      <w:r>
        <w:t xml:space="preserve">Check your top lens against the 'everything matters equally' dodge: if you cannot say what your number-one lens explains that number-three does not, re-rank.</w:t>
      </w:r>
    </w:p>
    <w:p>
      <w:pPr>
        <w:pStyle w:val="ListParagraph"/>
        <w:numPr>
          <w:ilvl w:val="0"/>
          <w:numId w:val="6"/>
        </w:numPr>
        <w:spacing w:after="40" w:line="258"/>
      </w:pPr>
      <w:r>
        <w:t xml:space="preserve">Be ready to defend your number-one choice to a challenge from another pair in one sentence.</w:t>
      </w:r>
    </w:p>
    <w:p>
      <w:pPr>
        <w:pStyle w:val="Heading4"/>
      </w:pPr>
      <w:r>
        <w:t xml:space="preserve">Worked example — present to students</w:t>
      </w:r>
    </w:p>
    <w:p>
      <w:pPr>
        <w:spacing w:after="90" w:before="0" w:line="260"/>
      </w:pPr>
      <w:r>
        <w:rPr>
          <w:b/>
          <w:bCs/>
        </w:rPr>
        <w:t xml:space="preserve">Given. </w:t>
      </w:r>
      <w:r>
        <w:t xml:space="preserve">Childhood asthma dossier. Prevalence is about 1 in 12 children. Children in low-income neighbourhoods are roughly 1.7 times as likely to have it as children in high-income areas. Living near a major roadway raises risk by about 25 percent, and indoor mould and second-hand smoke are established triggers. Having a parent with asthma roughly triples a child's risk. Damp, poorly ventilated rental housing concentrates exposure, and families with weaker access to primary care have more emergency visits and worse control.</w:t>
      </w:r>
    </w:p>
    <w:p>
      <w:pPr>
        <w:spacing w:after="20" w:before="0" w:line="260"/>
      </w:pPr>
      <w:r>
        <w:rPr>
          <w:b/>
          <w:bCs/>
        </w:rPr>
        <w:t xml:space="preserve">Solution (walk through on the board):</w:t>
      </w:r>
    </w:p>
    <w:p>
      <w:pPr>
        <w:pStyle w:val="ListParagraph"/>
        <w:numPr>
          <w:ilvl w:val="0"/>
          <w:numId w:val="7"/>
        </w:numPr>
        <w:spacing w:after="40" w:line="258"/>
      </w:pPr>
      <w:r>
        <w:t xml:space="preserve">Core pattern: a common childhood condition that clusters by income and housing, with a clear inherited component and clear environmental triggers.</w:t>
      </w:r>
    </w:p>
    <w:p>
      <w:pPr>
        <w:pStyle w:val="ListParagraph"/>
        <w:numPr>
          <w:ilvl w:val="0"/>
          <w:numId w:val="7"/>
        </w:numPr>
        <w:spacing w:after="40" w:line="258"/>
      </w:pPr>
      <w:r>
        <w:t xml:space="preserve">Scan the twelve lenses: Environmental (roadway, mould, smoke), Social-Economic-Political (income gradient, housing, care access), and Genetics (parental history) are all strong; Infectious Disease and Sexual/Reproductive health have little purchase here.</w:t>
      </w:r>
    </w:p>
    <w:p>
      <w:pPr>
        <w:pStyle w:val="ListParagraph"/>
        <w:numPr>
          <w:ilvl w:val="0"/>
          <w:numId w:val="7"/>
        </w:numPr>
        <w:spacing w:after="40" w:line="258"/>
      </w:pPr>
      <w:r>
        <w:t xml:space="preserve">Rank by explanatory reach: Environmental first because named physical triggers (roadway +25 percent, mould, smoke) directly cause attacks; Social-Economic-Political second because income and housing decide who is exposed to those triggers and who gets good care (1.7 times the risk in low-income areas); Genetics third because a parental history triples baseline risk but does not by itself explain the income gradient.</w:t>
      </w:r>
    </w:p>
    <w:p>
      <w:pPr>
        <w:pStyle w:val="ListParagraph"/>
        <w:numPr>
          <w:ilvl w:val="0"/>
          <w:numId w:val="7"/>
        </w:numPr>
        <w:spacing w:after="40" w:line="258"/>
      </w:pPr>
      <w:r>
        <w:t xml:space="preserve">Name a misfit: Infectious Disease and Sanitation does not fit, because asthma is a chronic inflammatory condition, not a transmissible infection, and nothing in the dossier points to it.</w:t>
      </w:r>
    </w:p>
    <w:p>
      <w:pPr>
        <w:pStyle w:val="ListParagraph"/>
        <w:numPr>
          <w:ilvl w:val="0"/>
          <w:numId w:val="7"/>
        </w:numPr>
        <w:spacing w:after="40" w:line="258"/>
      </w:pPr>
      <w:r>
        <w:t xml:space="preserve">Through-line check: the top lens (Environmental) explains the proximate triggers, but it sits downstream of the second lens (Social-Economic), which explains why those triggers fall unequally; that ordering is the argument.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Top three, ranked: Environmental, Social-Economic-Political, Genetics. Environmental leads because the dossier names direct physical triggers, while income and housing explain the unequal exposure and genetics sets the baseline susceptibility.</w:t>
            </w:r>
          </w:p>
        </w:tc>
      </w:tr>
    </w:tbl>
    <w:p>
      <w:pPr>
        <w:pStyle w:val="Heading4"/>
      </w:pPr>
      <w:r>
        <w:t xml:space="preserve">Assignment practice — hand out</w:t>
      </w:r>
    </w:p>
    <w:p>
      <w:pPr>
        <w:spacing w:after="20" w:before="0" w:line="260"/>
      </w:pPr>
      <w:r>
        <w:rPr>
          <w:b/>
          <w:bCs/>
          <w:color w:val="065C50"/>
        </w:rPr>
        <w:t xml:space="preserve">Practice 1: Type 2 diabetes.  </w:t>
      </w:r>
      <w:r>
        <w:t xml:space="preserve">Type 2 diabetes dossier. About 1 in 11 adults is affected, and rates have climbed steeply over two generations. Risk rises sharply with obesity, low physical activity, and diets high in refined sugar. Affected adults are about twice as common in the lowest income quintile as in the highest. Neighbourhoods with few grocery stores and many fast-food outlets show higher rates. Family history raises risk, and some ancestral populations carry higher susceptibility. Shift work and chronic short sleep are linked to worse glucose control.</w:t>
      </w:r>
    </w:p>
    <w:p>
      <w:pPr>
        <w:spacing w:after="20" w:before="0" w:line="260"/>
      </w:pPr>
      <w:r>
        <w:rPr>
          <w:b/>
          <w:bCs/>
          <w:i/>
          <w:iCs/>
        </w:rPr>
        <w:t xml:space="preserve">Task.  </w:t>
      </w:r>
      <w:r>
        <w:t xml:space="preserve">Pick the three weightiest lenses for type 2 diabetes from the twelve and rank them, justify each with one sentence citing a figure or fact from the dossier, and name one lens that does not fit.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strong answer ranks something like: (1) Health Behaviours / Nutrition-Activity-Sleep, because diet, inactivity, and short sleep are the named proximate drivers of risk; (2) Social-Economic-Political, because the disease is about twice as common in the lowest income quintile and food environments (few groceries, many fast-food outlets) shape those behaviours; (3) Genetics, because family history and higher susceptibility in some ancestral populations set the baseline but do not explain the two-generation rise. A defensible alternative leads with Social-Economic on the argument that the food environment causes the behaviour, as long as the candidate names what that lens explains that behaviour alone does not. Misfit: Occupational Health has only thin purchase (shift work is a minor thread), and Infectious Disease does not fit at all because type 2 diabetes is non-communicable. Reject any answer that lists all twelve or rates them equally; the steep two-generation rise is the clue that behaviour and environment, not genetics, carry the weight.</w:t>
            </w:r>
          </w:p>
        </w:tc>
      </w:tr>
    </w:tbl>
    <w:p>
      <w:pPr>
        <w:spacing w:after="20" w:before="0" w:line="260"/>
      </w:pPr>
      <w:r>
        <w:rPr>
          <w:b/>
          <w:bCs/>
          <w:color w:val="065C50"/>
        </w:rPr>
        <w:t xml:space="preserve">Practice 2: Opioid overdose deaths.  </w:t>
      </w:r>
      <w:r>
        <w:t xml:space="preserve">Opioid overdose dossier. Overdose is now a leading cause of death among adults under 50 in several regions. Deaths rose fastest after a wave of aggressive prescribing for chronic pain, then again with a contaminated illicit supply (fentanyl). Rates are highest in communities hit by job loss and economic decline. Many who die began with a legitimate prescription. Co-occurring depression, trauma, and social isolation are common. Access to naloxone and treatment is uneven, and stigma keeps people from seeking care.</w:t>
      </w:r>
    </w:p>
    <w:p>
      <w:pPr>
        <w:spacing w:after="20" w:before="0" w:line="260"/>
      </w:pPr>
      <w:r>
        <w:rPr>
          <w:b/>
          <w:bCs/>
          <w:i/>
          <w:iCs/>
        </w:rPr>
        <w:t xml:space="preserve">Task.  </w:t>
      </w:r>
      <w:r>
        <w:t xml:space="preserve">Pick the three weightiest lenses for opioid overdose deaths from the twelve and rank them, justify each with one sentence citing a figure or fact from the dossier, and name one lens that does not fit.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strong answer ranks something like: (1) Social-Economic-Political, because deaths cluster in communities hit by job loss and economic decline and because policy decided both the prescribing wave and the uneven access to naloxone and treatment; (2) Health Behaviours / Mental Health, because co-occurring depression, trauma, and isolation drive use and stigma blocks care; (3) the iatrogenic/medical-system thread, because many deaths began with a legitimate prescription and the contaminated fentanyl supply, which is a feature of the drug-supply and regulatory environment rather than individual choice. Justifications must quote the dossier (for example 'highest in communities hit by job loss', 'began with a legitimate prescription'). Misfit: Genetics has little purchase here, since the dossier points to prescribing patterns, supply contamination, and economic conditions, not inherited susceptibility; Sexual and Reproductive health does not fit at all. Reject answers that blame individual choice alone and ignore the prescribing wave, the contaminated supply, and the economic clustering.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ranking, but a strong answer ranks exactly three lenses, justifies each with a specific figure or fact lifted from the dossier rather than a general assertion, and names at least one lens that genuinely does not fit. The integration skill being assessed is disciplined weighting: the candidate must say what the number-one lens explains that the number-three lens does not, and should order proximate triggers (for asthma, Environmental) against the upstream conditions that distribute them unequally (Social-Economic-Political). Common errors to correct: listing all twelve lenses without prioritising (the 'everything matters equally' dodge); justifying a lens with a vague claim instead of a dossier figure; ranking Genetics first whenever any family history exists, even when a rapid generational rise rules out genetics as the main driver; and failing to name a misfit, which is where students show they can exclude as well as include. The three dossiers map onto real, recognisable patterns (the asthma income-and-environment gradient, the behavioural-plus-food-environment rise of type 2 diabetes, and the social-and-iatrogenic opioid crisis), so the weighting students practise here is exactly the weighting their final biography demands.</w:t>
            </w:r>
          </w:p>
        </w:tc>
      </w:tr>
    </w:tbl>
    <w:p>
      <w:pPr>
        <w:spacing w:after="90" w:before="0" w:line="260"/>
      </w:pPr>
      <w:r>
        <w:rPr>
          <w:b/>
          <w:bCs/>
        </w:rPr>
        <w:t xml:space="preserve">Debrief. </w:t>
      </w:r>
      <w:r>
        <w:t xml:space="preserve">Land it in one line: integration is disciplined weighting, naming what your top lens explains that the others cannot and excluding the lenses that do not fit, which is precisely the through-line the final Health Topic Biography is graded on.</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3 (the final biography and op-ed) and read the requirements and rubric aloud.</w:t>
      </w:r>
    </w:p>
    <w:p>
      <w:pPr>
        <w:pStyle w:val="ListParagraph"/>
        <w:numPr>
          <w:ilvl w:val="0"/>
          <w:numId w:val="8"/>
        </w:numPr>
        <w:spacing w:after="40" w:line="258"/>
      </w:pPr>
      <w:r>
        <w:t xml:space="preserve">Students assemble the biography's through-line and draft the single main message of the op-ed.</w:t>
      </w:r>
    </w:p>
    <w:p>
      <w:pPr>
        <w:pStyle w:val="ListParagraph"/>
        <w:numPr>
          <w:ilvl w:val="0"/>
          <w:numId w:val="8"/>
        </w:numPr>
        <w:spacing w:after="40" w:line="258"/>
      </w:pPr>
      <w:r>
        <w:t xml:space="preserve">Circulate and check that the op-ed translates the evidence into plain language without overclaiming.</w:t>
      </w:r>
    </w:p>
    <w:p>
      <w:pPr>
        <w:pStyle w:val="ListParagraph"/>
        <w:numPr>
          <w:ilvl w:val="0"/>
          <w:numId w:val="8"/>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biography, op-ed, and peer review are due as specified there.</w:t>
            </w:r>
          </w:p>
        </w:tc>
      </w:tr>
    </w:tbl>
    <w:p>
      <w:pPr>
        <w:pStyle w:val="Heading3"/>
      </w:pPr>
      <w:r>
        <w:t xml:space="preserve">Exit ticket and preview</w:t>
      </w:r>
    </w:p>
    <w:p>
      <w:pPr>
        <w:spacing w:after="90" w:before="0" w:line="260"/>
      </w:pPr>
      <w:r>
        <w:t xml:space="preserve">State your biography's through-line in one sentence and your op-ed's main message. Review Lessons 7 to 12 for the final examination.</w:t>
      </w:r>
    </w:p>
    <w:p>
      <w:pPr>
        <w:pStyle w:val="Heading3"/>
      </w:pPr>
      <w:r>
        <w:t xml:space="preserve">Instructor preparation</w:t>
      </w:r>
    </w:p>
    <w:p>
      <w:pPr>
        <w:pStyle w:val="ListParagraph"/>
        <w:numPr>
          <w:ilvl w:val="0"/>
          <w:numId w:val="2"/>
        </w:numPr>
        <w:spacing w:after="40" w:line="258"/>
      </w:pPr>
      <w:r>
        <w:t xml:space="preserve">Three-statement model warm-up slide.</w:t>
      </w:r>
    </w:p>
    <w:p>
      <w:pPr>
        <w:pStyle w:val="ListParagraph"/>
        <w:numPr>
          <w:ilvl w:val="0"/>
          <w:numId w:val="2"/>
        </w:numPr>
        <w:spacing w:after="40" w:line="258"/>
      </w:pPr>
      <w:r>
        <w:t xml:space="preserve">An access scenario; wall space for the gallery walk.</w:t>
      </w:r>
    </w:p>
    <w:p>
      <w:pPr>
        <w:pStyle w:val="ListParagraph"/>
        <w:numPr>
          <w:ilvl w:val="0"/>
          <w:numId w:val="2"/>
        </w:numPr>
        <w:spacing w:after="40" w:line="258"/>
      </w:pPr>
      <w:r>
        <w:t xml:space="preserve">Integration worksheet on Canvas.</w:t>
      </w:r>
    </w:p>
    <w:p>
      <w:pPr>
        <w:pStyle w:val="ListParagraph"/>
        <w:numPr>
          <w:ilvl w:val="0"/>
          <w:numId w:val="2"/>
        </w:numPr>
        <w:spacing w:after="40" w:line="258"/>
      </w:pPr>
      <w:r>
        <w:t xml:space="preserve">Open the term-project document to Part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12 · Disability Diversity and Integrating Foundations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2026-06-16T15:53:15.879Z</dcterms:created>
  <dcterms:modified xsi:type="dcterms:W3CDTF">2026-06-16T15:53:15.880Z</dcterms:modified>
</cp:coreProperties>
</file>

<file path=docProps/custom.xml><?xml version="1.0" encoding="utf-8"?>
<Properties xmlns="http://schemas.openxmlformats.org/officeDocument/2006/custom-properties" xmlns:vt="http://schemas.openxmlformats.org/officeDocument/2006/docPropsVTypes"/>
</file>